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760"/>
      </w:tblGrid>
      <w:tr w:rsidR="00374741" w14:paraId="0414FBC1" w14:textId="77777777" w:rsidTr="00B70B13">
        <w:tc>
          <w:tcPr>
            <w:tcW w:w="4678" w:type="dxa"/>
            <w:tcBorders>
              <w:top w:val="nil"/>
              <w:left w:val="nil"/>
              <w:bottom w:val="nil"/>
              <w:right w:val="nil"/>
            </w:tcBorders>
          </w:tcPr>
          <w:p w14:paraId="5BB83304" w14:textId="77777777" w:rsidR="00374741" w:rsidRDefault="00374741" w:rsidP="00B70B13">
            <w:pPr>
              <w:spacing w:after="0" w:line="240" w:lineRule="auto"/>
              <w:jc w:val="center"/>
              <w:rPr>
                <w:rFonts w:eastAsia="Calibri"/>
                <w:b/>
                <w:sz w:val="26"/>
                <w:szCs w:val="26"/>
              </w:rPr>
            </w:pPr>
            <w:r>
              <w:rPr>
                <w:rFonts w:eastAsia="Calibri"/>
                <w:b/>
                <w:sz w:val="26"/>
                <w:szCs w:val="26"/>
              </w:rPr>
              <w:t>ỦY BAN NHÂN DÂN</w:t>
            </w:r>
          </w:p>
          <w:p w14:paraId="4489FB57" w14:textId="77777777" w:rsidR="00374741" w:rsidRDefault="00374741" w:rsidP="00B70B13">
            <w:pPr>
              <w:spacing w:after="0" w:line="240" w:lineRule="auto"/>
              <w:jc w:val="center"/>
              <w:rPr>
                <w:rFonts w:eastAsia="Calibri"/>
                <w:b/>
                <w:sz w:val="26"/>
                <w:szCs w:val="26"/>
              </w:rPr>
            </w:pPr>
            <w:r>
              <w:rPr>
                <w:rFonts w:eastAsia="Calibri"/>
                <w:b/>
                <w:sz w:val="26"/>
                <w:szCs w:val="26"/>
              </w:rPr>
              <w:t>THÀNH PHỐ BUÔN MA THUỘT</w:t>
            </w:r>
          </w:p>
          <w:p w14:paraId="40C23B3B" w14:textId="0649B7B9" w:rsidR="00374741" w:rsidRPr="00E9030C" w:rsidRDefault="00374741" w:rsidP="00374741">
            <w:pPr>
              <w:spacing w:before="120" w:after="0" w:line="240" w:lineRule="auto"/>
              <w:jc w:val="center"/>
              <w:rPr>
                <w:rFonts w:eastAsia="Calibri"/>
                <w:sz w:val="24"/>
                <w:szCs w:val="24"/>
              </w:rPr>
            </w:pPr>
            <w:r>
              <w:rPr>
                <w:rFonts w:ascii="Calibri" w:eastAsia="Calibri" w:hAnsi="Calibri"/>
                <w:noProof/>
                <w:lang w:val="en-US" w:eastAsia="en-US"/>
              </w:rPr>
              <mc:AlternateContent>
                <mc:Choice Requires="wps">
                  <w:drawing>
                    <wp:anchor distT="4294967295" distB="4294967295" distL="114300" distR="114300" simplePos="0" relativeHeight="251659264" behindDoc="0" locked="0" layoutInCell="1" allowOverlap="1" wp14:anchorId="1B231A12" wp14:editId="53B26FF3">
                      <wp:simplePos x="0" y="0"/>
                      <wp:positionH relativeFrom="column">
                        <wp:posOffset>729615</wp:posOffset>
                      </wp:positionH>
                      <wp:positionV relativeFrom="paragraph">
                        <wp:posOffset>4444</wp:posOffset>
                      </wp:positionV>
                      <wp:extent cx="132397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9823F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35pt" to="1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" strokecolor="windowText">
                      <o:lock v:ext="edit" shapetype="f"/>
                    </v:line>
                  </w:pict>
                </mc:Fallback>
              </mc:AlternateContent>
            </w:r>
          </w:p>
        </w:tc>
        <w:tc>
          <w:tcPr>
            <w:tcW w:w="5760" w:type="dxa"/>
            <w:tcBorders>
              <w:top w:val="nil"/>
              <w:left w:val="nil"/>
              <w:bottom w:val="nil"/>
              <w:right w:val="nil"/>
            </w:tcBorders>
          </w:tcPr>
          <w:p w14:paraId="766719FA" w14:textId="77777777" w:rsidR="00374741" w:rsidRDefault="00374741" w:rsidP="00B70B13">
            <w:pPr>
              <w:spacing w:after="0" w:line="240" w:lineRule="auto"/>
              <w:rPr>
                <w:rFonts w:eastAsia="Calibri"/>
                <w:b/>
                <w:sz w:val="26"/>
                <w:szCs w:val="26"/>
              </w:rPr>
            </w:pPr>
            <w:r>
              <w:rPr>
                <w:rFonts w:eastAsia="Calibri"/>
                <w:b/>
                <w:sz w:val="26"/>
                <w:szCs w:val="26"/>
              </w:rPr>
              <w:t>CỘNG HÒA XÃ HỘI CHỦ NGHĨA VIỆT NAM</w:t>
            </w:r>
          </w:p>
          <w:p w14:paraId="32BFD32C" w14:textId="330DDEFA" w:rsidR="00374741" w:rsidRPr="00374741" w:rsidRDefault="00374741" w:rsidP="00374741">
            <w:pPr>
              <w:spacing w:after="0" w:line="240" w:lineRule="auto"/>
              <w:jc w:val="center"/>
              <w:rPr>
                <w:rFonts w:eastAsia="Calibri"/>
                <w:b/>
                <w:szCs w:val="28"/>
              </w:rPr>
            </w:pPr>
            <w:r>
              <w:rPr>
                <w:rFonts w:ascii="Calibri" w:eastAsia="Calibri" w:hAnsi="Calibri"/>
                <w:noProof/>
                <w:lang w:val="en-US" w:eastAsia="en-US"/>
              </w:rPr>
              <mc:AlternateContent>
                <mc:Choice Requires="wps">
                  <w:drawing>
                    <wp:anchor distT="4294967295" distB="4294967295" distL="114300" distR="114300" simplePos="0" relativeHeight="251660288" behindDoc="0" locked="0" layoutInCell="1" allowOverlap="1" wp14:anchorId="2CABF3E4" wp14:editId="2211B59F">
                      <wp:simplePos x="0" y="0"/>
                      <wp:positionH relativeFrom="column">
                        <wp:posOffset>679450</wp:posOffset>
                      </wp:positionH>
                      <wp:positionV relativeFrom="paragraph">
                        <wp:posOffset>194309</wp:posOffset>
                      </wp:positionV>
                      <wp:extent cx="21386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8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BCC99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5pt,15.3pt" to="22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" strokecolor="windowText">
                      <o:lock v:ext="edit" shapetype="f"/>
                    </v:line>
                  </w:pict>
                </mc:Fallback>
              </mc:AlternateContent>
            </w:r>
            <w:r>
              <w:rPr>
                <w:rFonts w:eastAsia="Calibri"/>
                <w:b/>
                <w:szCs w:val="28"/>
              </w:rPr>
              <w:t>Độc lập - Tự do - Hạnh phúc</w:t>
            </w:r>
          </w:p>
        </w:tc>
      </w:tr>
    </w:tbl>
    <w:p w14:paraId="7C40B898" w14:textId="680F752F" w:rsidR="00160A2A" w:rsidRPr="006F3937" w:rsidRDefault="006C1700" w:rsidP="006F3937">
      <w:pPr>
        <w:spacing w:after="0"/>
        <w:jc w:val="center"/>
        <w:rPr>
          <w:b/>
          <w:szCs w:val="28"/>
        </w:rPr>
      </w:pPr>
      <w:r w:rsidRPr="006F3937">
        <w:rPr>
          <w:b/>
          <w:szCs w:val="28"/>
        </w:rPr>
        <w:t>THAM LUẬN</w:t>
      </w:r>
    </w:p>
    <w:p w14:paraId="3A677C4A" w14:textId="20BD03B1" w:rsidR="006F3937" w:rsidRPr="006F3937" w:rsidRDefault="006F3937" w:rsidP="006F3937">
      <w:pPr>
        <w:spacing w:after="0"/>
        <w:jc w:val="center"/>
        <w:rPr>
          <w:b/>
          <w:szCs w:val="28"/>
        </w:rPr>
      </w:pPr>
      <w:r>
        <w:rPr>
          <w:b/>
          <w:noProof/>
          <w:sz w:val="30"/>
          <w:szCs w:val="30"/>
        </w:rPr>
        <mc:AlternateContent>
          <mc:Choice Requires="wps">
            <w:drawing>
              <wp:anchor distT="0" distB="0" distL="114300" distR="114300" simplePos="0" relativeHeight="251661312" behindDoc="0" locked="0" layoutInCell="1" allowOverlap="1" wp14:anchorId="3DF846ED" wp14:editId="0E435460">
                <wp:simplePos x="0" y="0"/>
                <wp:positionH relativeFrom="margin">
                  <wp:align>center</wp:align>
                </wp:positionH>
                <wp:positionV relativeFrom="paragraph">
                  <wp:posOffset>491490</wp:posOffset>
                </wp:positionV>
                <wp:extent cx="2114550" cy="0"/>
                <wp:effectExtent l="0" t="0" r="0" b="0"/>
                <wp:wrapNone/>
                <wp:docPr id="1250624608" name="Straight Connector 4"/>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D0F59" id="Straight Connector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7pt" to="16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" strokecolor="black [3200]" strokeweight=".5pt">
                <v:stroke joinstyle="miter"/>
                <w10:wrap anchorx="margin"/>
              </v:line>
            </w:pict>
          </mc:Fallback>
        </mc:AlternateContent>
      </w:r>
      <w:r w:rsidRPr="006F3937">
        <w:rPr>
          <w:b/>
          <w:szCs w:val="28"/>
        </w:rPr>
        <w:t>Giải pháp cải thiện Chỉ số PCI từ cấp cơ sở, cải thiện kết quả đánh giá của doanh nghiệp về tính năng động và tiên phong của chính quyền địa phương</w:t>
      </w:r>
    </w:p>
    <w:p w14:paraId="20A3E55A" w14:textId="4808ADC2" w:rsidR="006F3937" w:rsidRDefault="006F3937" w:rsidP="006F3937">
      <w:pPr>
        <w:spacing w:after="0"/>
        <w:jc w:val="center"/>
        <w:rPr>
          <w:b/>
          <w:sz w:val="30"/>
          <w:szCs w:val="30"/>
        </w:rPr>
      </w:pPr>
    </w:p>
    <w:p w14:paraId="6678ECE1" w14:textId="77777777" w:rsidR="006F3937" w:rsidRDefault="006F3937" w:rsidP="006F3937">
      <w:pPr>
        <w:spacing w:after="0"/>
        <w:ind w:firstLine="567"/>
        <w:jc w:val="both"/>
        <w:rPr>
          <w:szCs w:val="28"/>
        </w:rPr>
      </w:pPr>
    </w:p>
    <w:p w14:paraId="1AB417DE" w14:textId="540532C1" w:rsidR="001E3EAE" w:rsidRPr="001568F9" w:rsidRDefault="001E3EAE" w:rsidP="006F3937">
      <w:pPr>
        <w:spacing w:after="0"/>
        <w:ind w:firstLine="567"/>
        <w:jc w:val="both"/>
        <w:rPr>
          <w:b/>
          <w:szCs w:val="28"/>
        </w:rPr>
      </w:pPr>
      <w:r w:rsidRPr="001568F9">
        <w:rPr>
          <w:szCs w:val="28"/>
        </w:rPr>
        <w:t xml:space="preserve">UBND Thành phố xin trao đổi, tham luận về: </w:t>
      </w:r>
      <w:r w:rsidRPr="001568F9">
        <w:rPr>
          <w:b/>
          <w:color w:val="000000"/>
          <w:szCs w:val="28"/>
        </w:rPr>
        <w:t>Giải pháp cải thiện chỉ số P</w:t>
      </w:r>
      <w:r w:rsidR="001568F9" w:rsidRPr="001568F9">
        <w:rPr>
          <w:b/>
          <w:color w:val="000000"/>
          <w:szCs w:val="28"/>
        </w:rPr>
        <w:t>CI</w:t>
      </w:r>
      <w:r w:rsidRPr="001568F9">
        <w:rPr>
          <w:b/>
          <w:color w:val="000000"/>
          <w:szCs w:val="28"/>
        </w:rPr>
        <w:t xml:space="preserve"> từ cấp cơ sở, cải thiện kết quả đánh giá của doanh nghiệp về tính năng động và tiên phong của chính quyền địa phương.</w:t>
      </w:r>
    </w:p>
    <w:p w14:paraId="6CC64D2A" w14:textId="7C768D52" w:rsidR="003647F0" w:rsidRPr="001568F9" w:rsidRDefault="001E3EAE" w:rsidP="00435FB6">
      <w:pPr>
        <w:spacing w:before="80" w:after="0" w:line="252" w:lineRule="auto"/>
        <w:ind w:firstLine="567"/>
        <w:jc w:val="both"/>
        <w:rPr>
          <w:b/>
          <w:szCs w:val="28"/>
          <w:lang w:val="af-ZA"/>
        </w:rPr>
      </w:pPr>
      <w:r w:rsidRPr="001568F9">
        <w:rPr>
          <w:b/>
          <w:i/>
          <w:szCs w:val="28"/>
        </w:rPr>
        <w:t>Đầu tiên, những t</w:t>
      </w:r>
      <w:r w:rsidR="003647F0" w:rsidRPr="001568F9">
        <w:rPr>
          <w:b/>
          <w:i/>
          <w:szCs w:val="28"/>
        </w:rPr>
        <w:t>hành tựu phát triển KT-XH của thành phố Buôn Ma Thuột đạt được năm 2023</w:t>
      </w:r>
      <w:r w:rsidR="008B181A" w:rsidRPr="001568F9">
        <w:rPr>
          <w:b/>
          <w:i/>
          <w:szCs w:val="28"/>
        </w:rPr>
        <w:t xml:space="preserve"> cụ thể:</w:t>
      </w:r>
      <w:r w:rsidR="003647F0" w:rsidRPr="001568F9">
        <w:rPr>
          <w:b/>
          <w:i/>
          <w:szCs w:val="28"/>
        </w:rPr>
        <w:t xml:space="preserve"> </w:t>
      </w:r>
      <w:r w:rsidR="003647F0" w:rsidRPr="001568F9">
        <w:rPr>
          <w:szCs w:val="28"/>
        </w:rPr>
        <w:t>Thực</w:t>
      </w:r>
      <w:r w:rsidR="003647F0" w:rsidRPr="001568F9">
        <w:rPr>
          <w:szCs w:val="28"/>
          <w:lang w:val="vi-VN"/>
        </w:rPr>
        <w:t xml:space="preserve"> hiện </w:t>
      </w:r>
      <w:r w:rsidR="003647F0" w:rsidRPr="001568F9">
        <w:rPr>
          <w:szCs w:val="28"/>
        </w:rPr>
        <w:t>nhiệm vụ phát triển kinh tế- xã hội năm 2023 với nhiều khó khăn, thách thức</w:t>
      </w:r>
      <w:r w:rsidR="003647F0" w:rsidRPr="001568F9">
        <w:rPr>
          <w:i/>
          <w:szCs w:val="28"/>
        </w:rPr>
        <w:t>.</w:t>
      </w:r>
      <w:r w:rsidR="003647F0" w:rsidRPr="001568F9">
        <w:rPr>
          <w:b/>
          <w:i/>
          <w:szCs w:val="28"/>
        </w:rPr>
        <w:t xml:space="preserve"> </w:t>
      </w:r>
      <w:r w:rsidR="003647F0" w:rsidRPr="001568F9">
        <w:rPr>
          <w:szCs w:val="28"/>
          <w:lang w:val="es-MX"/>
        </w:rPr>
        <w:t>UBND thành phố đã tích cực chỉ đạo, điều hành các lĩnh vực</w:t>
      </w:r>
      <w:r w:rsidR="003647F0" w:rsidRPr="001568F9">
        <w:rPr>
          <w:szCs w:val="28"/>
          <w:lang w:val="sv-SE"/>
        </w:rPr>
        <w:t xml:space="preserve"> phát triển kinh tế - xã hội đảm bảo quốc phòng - an ninh. Tập trung lãnh đạo, chỉ đạo huy động các nguồn lực để đầu tư xây dựng hạ tầng kinh tế - xã hội; nhất</w:t>
      </w:r>
      <w:r w:rsidR="003647F0" w:rsidRPr="001568F9">
        <w:rPr>
          <w:szCs w:val="28"/>
          <w:lang w:val="de-AT"/>
        </w:rPr>
        <w:t xml:space="preserve"> là triển khai cơ chế chính sách đặc thù của </w:t>
      </w:r>
      <w:r w:rsidR="003647F0" w:rsidRPr="001568F9">
        <w:rPr>
          <w:szCs w:val="28"/>
          <w:lang w:val="vi-VN"/>
        </w:rPr>
        <w:t>T</w:t>
      </w:r>
      <w:r w:rsidR="003647F0" w:rsidRPr="001568F9">
        <w:rPr>
          <w:szCs w:val="28"/>
          <w:lang w:val="de-AT"/>
        </w:rPr>
        <w:t>hành phố</w:t>
      </w:r>
      <w:r w:rsidR="003647F0" w:rsidRPr="001568F9">
        <w:rPr>
          <w:szCs w:val="28"/>
          <w:lang w:val="vi-VN"/>
        </w:rPr>
        <w:t xml:space="preserve"> theo Nghị quyết số 72</w:t>
      </w:r>
      <w:r w:rsidR="003647F0" w:rsidRPr="001568F9">
        <w:rPr>
          <w:szCs w:val="28"/>
          <w:lang w:val="sv-SE"/>
        </w:rPr>
        <w:t>/2022/QH15</w:t>
      </w:r>
      <w:r w:rsidR="003647F0" w:rsidRPr="001568F9">
        <w:rPr>
          <w:szCs w:val="28"/>
          <w:lang w:val="vi-VN"/>
        </w:rPr>
        <w:t xml:space="preserve"> của Quốc hội</w:t>
      </w:r>
      <w:r w:rsidR="003647F0" w:rsidRPr="001568F9">
        <w:rPr>
          <w:szCs w:val="28"/>
          <w:lang w:val="de-AT"/>
        </w:rPr>
        <w:t>. Các hoạt động kinh doanh, sản xuất, thương mại - dịch vụ phát triển ổn định, đáp ứng nhu cầu của xã hội; tình hình sản xuất nông nghiệp đảm bảo kế hoạch đề ra</w:t>
      </w:r>
      <w:r w:rsidR="003647F0" w:rsidRPr="001568F9">
        <w:rPr>
          <w:iCs/>
          <w:szCs w:val="28"/>
          <w:lang w:val="es-ES"/>
        </w:rPr>
        <w:t>; c</w:t>
      </w:r>
      <w:r w:rsidR="003647F0" w:rsidRPr="001568F9">
        <w:rPr>
          <w:szCs w:val="28"/>
          <w:lang w:val="es-ES"/>
        </w:rPr>
        <w:t xml:space="preserve">ơ cấu kinh tế từng bước chuyển dịch đúng định hướng, giảm dần tỷ trọng ngành nông nghiệp và tăng dần tỷ trọng ngành công nghiệp, dịch vụ. </w:t>
      </w:r>
      <w:r w:rsidR="003647F0" w:rsidRPr="001568F9">
        <w:rPr>
          <w:bCs/>
          <w:szCs w:val="28"/>
          <w:lang w:val="da-DK"/>
        </w:rPr>
        <w:t>Dịch bệnh trên người, cây trồng, vật nuôi được kiểm soát, cơ bản ổn định. C</w:t>
      </w:r>
      <w:r w:rsidR="003647F0" w:rsidRPr="001568F9">
        <w:rPr>
          <w:szCs w:val="28"/>
          <w:lang w:val="de-AT"/>
        </w:rPr>
        <w:t xml:space="preserve">ông tác thu ngân sách được quan tâm chỉ đạo quyết liệt ngay từ đầu năm và </w:t>
      </w:r>
      <w:r w:rsidR="003647F0" w:rsidRPr="001568F9">
        <w:rPr>
          <w:bCs/>
          <w:szCs w:val="28"/>
          <w:lang w:val="da-DK"/>
        </w:rPr>
        <w:t>đ</w:t>
      </w:r>
      <w:r w:rsidR="003647F0" w:rsidRPr="001568F9">
        <w:rPr>
          <w:szCs w:val="28"/>
          <w:lang w:val="de-AT"/>
        </w:rPr>
        <w:t xml:space="preserve">ề ra nhiều biện pháp, giải pháp để đảm bảo chỉ tiêu được giao. </w:t>
      </w:r>
      <w:r w:rsidR="003647F0" w:rsidRPr="001568F9">
        <w:rPr>
          <w:bCs/>
          <w:iCs/>
          <w:szCs w:val="28"/>
          <w:lang w:val="pt-BR"/>
        </w:rPr>
        <w:t>Đầu tư xây dựng chợ các xã, phường và</w:t>
      </w:r>
      <w:r w:rsidR="003647F0" w:rsidRPr="001568F9">
        <w:rPr>
          <w:szCs w:val="28"/>
          <w:lang w:val="de-AT"/>
        </w:rPr>
        <w:t xml:space="preserve"> xây dựng nông thôn mới được triển khai đồng bộ. </w:t>
      </w:r>
      <w:r w:rsidR="003647F0" w:rsidRPr="001568F9">
        <w:rPr>
          <w:bCs/>
          <w:szCs w:val="28"/>
          <w:lang w:val="da-DK"/>
        </w:rPr>
        <w:t>T</w:t>
      </w:r>
      <w:r w:rsidR="003647F0" w:rsidRPr="001568F9">
        <w:rPr>
          <w:szCs w:val="28"/>
        </w:rPr>
        <w:t>hường xuyên lãnh đạo, chỉ đạo tháo gỡ vướng mắc trong công tác bồi thường, giải phóng mặt bằng để đẩy nhanh tiến độ thực hiện các dự án đã được bố trí vốn theo kế hoạch</w:t>
      </w:r>
      <w:r w:rsidR="003647F0" w:rsidRPr="001568F9">
        <w:rPr>
          <w:szCs w:val="28"/>
          <w:lang w:val="vi-VN"/>
        </w:rPr>
        <w:t xml:space="preserve">. </w:t>
      </w:r>
      <w:r w:rsidR="003647F0" w:rsidRPr="001568F9">
        <w:rPr>
          <w:szCs w:val="28"/>
        </w:rPr>
        <w:t>Quá trình triển khai đầu tư một số công trình giao thông</w:t>
      </w:r>
      <w:r w:rsidR="003647F0" w:rsidRPr="001568F9">
        <w:rPr>
          <w:szCs w:val="28"/>
          <w:lang w:val="vi-VN"/>
        </w:rPr>
        <w:t xml:space="preserve"> đã</w:t>
      </w:r>
      <w:r w:rsidR="003647F0" w:rsidRPr="001568F9">
        <w:rPr>
          <w:szCs w:val="28"/>
        </w:rPr>
        <w:t xml:space="preserve"> thực hiện tốt công tác</w:t>
      </w:r>
      <w:r w:rsidR="003647F0" w:rsidRPr="001568F9">
        <w:rPr>
          <w:szCs w:val="28"/>
          <w:lang w:val="vi-VN"/>
        </w:rPr>
        <w:t xml:space="preserve"> vận động</w:t>
      </w:r>
      <w:r w:rsidR="003647F0" w:rsidRPr="001568F9">
        <w:rPr>
          <w:szCs w:val="28"/>
        </w:rPr>
        <w:t>, tạo sự đồng thuận và hưởng ứng của người</w:t>
      </w:r>
      <w:r w:rsidR="003647F0" w:rsidRPr="001568F9">
        <w:rPr>
          <w:szCs w:val="28"/>
          <w:lang w:val="vi-VN"/>
        </w:rPr>
        <w:t xml:space="preserve"> dân </w:t>
      </w:r>
      <w:r w:rsidR="003647F0" w:rsidRPr="001568F9">
        <w:rPr>
          <w:szCs w:val="28"/>
        </w:rPr>
        <w:t xml:space="preserve">tự giác tháo dỡ, di dời tài sản, bàn giao mặt bằng để thi công, không yêu cầu bồi thường đạt giá trị </w:t>
      </w:r>
      <w:r w:rsidR="003647F0" w:rsidRPr="001568F9">
        <w:rPr>
          <w:szCs w:val="28"/>
          <w:lang w:val="vi-VN"/>
        </w:rPr>
        <w:t xml:space="preserve">trên 35 tỷ đồng, </w:t>
      </w:r>
      <w:r w:rsidR="003647F0" w:rsidRPr="001568F9">
        <w:rPr>
          <w:szCs w:val="28"/>
        </w:rPr>
        <w:t>t</w:t>
      </w:r>
      <w:r w:rsidR="003647F0" w:rsidRPr="001568F9">
        <w:rPr>
          <w:szCs w:val="28"/>
          <w:lang w:val="vi-VN"/>
        </w:rPr>
        <w:t>ừ đó tạo thêm nguồn lực để tiếp tục đầu tư góp phần đẩy mạnh phát triển kinh tế - xã hội chung của thành phố.</w:t>
      </w:r>
      <w:r w:rsidR="003647F0" w:rsidRPr="001568F9">
        <w:rPr>
          <w:szCs w:val="28"/>
        </w:rPr>
        <w:t xml:space="preserve"> </w:t>
      </w:r>
    </w:p>
    <w:p w14:paraId="652F6C2D" w14:textId="77777777" w:rsidR="00435FB6" w:rsidRDefault="003647F0"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lang w:val="nl-NL"/>
        </w:rPr>
      </w:pPr>
      <w:r w:rsidRPr="001568F9">
        <w:rPr>
          <w:szCs w:val="28"/>
        </w:rPr>
        <w:t>Công tác quản lý trật tự đô thị, xây dựng, đất đai được thường xuyên quan tâm chỉ đạo</w:t>
      </w:r>
      <w:r w:rsidRPr="001568F9">
        <w:rPr>
          <w:szCs w:val="28"/>
          <w:lang w:val="vi-VN"/>
        </w:rPr>
        <w:t xml:space="preserve"> và</w:t>
      </w:r>
      <w:r w:rsidRPr="001568F9">
        <w:rPr>
          <w:szCs w:val="28"/>
        </w:rPr>
        <w:t xml:space="preserve"> có nhiều chuyển biến tích</w:t>
      </w:r>
      <w:r w:rsidRPr="001568F9">
        <w:rPr>
          <w:szCs w:val="28"/>
          <w:lang w:val="nl-NL"/>
        </w:rPr>
        <w:t xml:space="preserve">, </w:t>
      </w:r>
      <w:r w:rsidRPr="001568F9">
        <w:rPr>
          <w:szCs w:val="28"/>
          <w:lang w:val="nb-NO"/>
        </w:rPr>
        <w:t xml:space="preserve">kịp thời phát hiện và xử lý nghiêm các trường hợp vi </w:t>
      </w:r>
      <w:r w:rsidRPr="001568F9">
        <w:rPr>
          <w:szCs w:val="28"/>
          <w:lang w:val="vi-VN"/>
        </w:rPr>
        <w:t>phạm,</w:t>
      </w:r>
      <w:r w:rsidRPr="001568F9">
        <w:rPr>
          <w:szCs w:val="28"/>
          <w:lang w:val="nb-NO"/>
        </w:rPr>
        <w:t xml:space="preserve"> ý thức chấp hành pháp luật của người dân</w:t>
      </w:r>
      <w:r w:rsidRPr="001568F9">
        <w:rPr>
          <w:szCs w:val="28"/>
          <w:lang w:val="vi-VN"/>
        </w:rPr>
        <w:t xml:space="preserve"> dần được nâng cao. Tích cực, chủ động t</w:t>
      </w:r>
      <w:r w:rsidRPr="001568F9">
        <w:rPr>
          <w:szCs w:val="28"/>
          <w:lang w:val="nl-NL"/>
        </w:rPr>
        <w:t xml:space="preserve">ham gia và thực hiện các nhiệm vụ được phân công, góp phần thành công của Lễ hội cà phê Buôn Ma Thuột lần thứ 8. Các chế độ chính sách an sinh xã hội được thực hiện đầy đủ. Công tác khám chữa bệnh duy trì tốt, an sinh xã hội được bảo đảm; các hoạt động văn hóa - xã hội có nhiều chuyển biến mới; công tác giải quyết việc làm và giảm nghèo </w:t>
      </w:r>
      <w:r w:rsidRPr="001568F9">
        <w:rPr>
          <w:szCs w:val="28"/>
          <w:lang w:val="vi-VN"/>
        </w:rPr>
        <w:t xml:space="preserve">luôn </w:t>
      </w:r>
      <w:r w:rsidRPr="001568F9">
        <w:rPr>
          <w:szCs w:val="28"/>
          <w:lang w:val="nl-NL"/>
        </w:rPr>
        <w:t xml:space="preserve">được quan tâm, bảo đảm ổn định cuộc sống của người dân trên địa bàn. Công tác cải cách hành chính, chuyển đổi số và xây dựng thành phố Buôn Ma Thuột trở thành đô thị thông minh đạt nhiều kết quả. Công tác </w:t>
      </w:r>
      <w:r w:rsidRPr="001568F9">
        <w:rPr>
          <w:szCs w:val="28"/>
          <w:lang w:val="nl-NL"/>
        </w:rPr>
        <w:lastRenderedPageBreak/>
        <w:t>tiếp công dân, tiếp nhận, xử lý đơn thư và giải quyết khiếu nại, tố cáo chuyển biến tích cực, thực hiện đúng trình tự thủ tục quy định của pháp luật.</w:t>
      </w:r>
    </w:p>
    <w:p w14:paraId="5D5D6837" w14:textId="77777777" w:rsidR="00435FB6" w:rsidRDefault="003647F0"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pacing w:val="-2"/>
          <w:szCs w:val="28"/>
          <w:lang w:val="en-GB"/>
        </w:rPr>
      </w:pPr>
      <w:r w:rsidRPr="001568F9">
        <w:rPr>
          <w:szCs w:val="28"/>
          <w:lang w:val="nl-NL"/>
        </w:rPr>
        <w:t xml:space="preserve">Tình hình an ninh, chính trị ổn định, trật tự an toàn xã hội trên địa bàn được đảm bảo, đặc biệt trong dịp Lễ, Tết không để trọng án xảy ra, không xảy ra cháy nổ nghiêm trọng; công tác giao quân đạt 100% chỉ tiêu; tỷ lệ điều tra, khám phá án đạt tỷ lệ cao (97,4%), </w:t>
      </w:r>
      <w:r w:rsidRPr="001568F9">
        <w:rPr>
          <w:bCs/>
          <w:spacing w:val="2"/>
          <w:szCs w:val="28"/>
        </w:rPr>
        <w:t>tỷ lệ điều tra, khám phá án rất nghiêm trọng, đặc biệt nghiêm trọng 45/45 vụ, đạt 100%;</w:t>
      </w:r>
      <w:r w:rsidRPr="001568F9">
        <w:rPr>
          <w:spacing w:val="-4"/>
          <w:szCs w:val="28"/>
        </w:rPr>
        <w:t xml:space="preserve"> tập trung trấn áp quyết liệt</w:t>
      </w:r>
      <w:r w:rsidRPr="001568F9">
        <w:rPr>
          <w:spacing w:val="-2"/>
          <w:szCs w:val="28"/>
          <w:lang w:val="sv-SE"/>
        </w:rPr>
        <w:t xml:space="preserve"> tội phạm </w:t>
      </w:r>
      <w:r w:rsidRPr="001568F9">
        <w:rPr>
          <w:bCs/>
          <w:spacing w:val="-2"/>
          <w:szCs w:val="28"/>
        </w:rPr>
        <w:t>sử dụng công nghệ cao, h</w:t>
      </w:r>
      <w:r w:rsidRPr="001568F9">
        <w:rPr>
          <w:spacing w:val="-2"/>
          <w:szCs w:val="28"/>
        </w:rPr>
        <w:t xml:space="preserve">oạt động liên quan đến </w:t>
      </w:r>
      <w:r w:rsidRPr="001568F9">
        <w:rPr>
          <w:i/>
          <w:spacing w:val="-2"/>
          <w:szCs w:val="28"/>
        </w:rPr>
        <w:t>“tín dụng đen”</w:t>
      </w:r>
      <w:r w:rsidRPr="001568F9">
        <w:rPr>
          <w:spacing w:val="-2"/>
          <w:szCs w:val="28"/>
        </w:rPr>
        <w:t xml:space="preserve"> </w:t>
      </w:r>
      <w:r w:rsidRPr="001568F9">
        <w:rPr>
          <w:i/>
          <w:spacing w:val="-2"/>
          <w:szCs w:val="28"/>
        </w:rPr>
        <w:t xml:space="preserve">(lần lượt phát hiện, xử lý </w:t>
      </w:r>
      <w:r w:rsidRPr="001568F9">
        <w:rPr>
          <w:i/>
          <w:spacing w:val="-2"/>
          <w:szCs w:val="28"/>
          <w:lang w:val="vi-VN"/>
        </w:rPr>
        <w:t>07</w:t>
      </w:r>
      <w:r w:rsidRPr="001568F9">
        <w:rPr>
          <w:bCs/>
          <w:i/>
          <w:szCs w:val="28"/>
        </w:rPr>
        <w:t xml:space="preserve"> vụ - </w:t>
      </w:r>
      <w:r w:rsidRPr="001568F9">
        <w:rPr>
          <w:bCs/>
          <w:i/>
          <w:szCs w:val="28"/>
          <w:lang w:val="vi-VN"/>
        </w:rPr>
        <w:t>41</w:t>
      </w:r>
      <w:r w:rsidRPr="001568F9">
        <w:rPr>
          <w:bCs/>
          <w:i/>
          <w:szCs w:val="28"/>
        </w:rPr>
        <w:t xml:space="preserve">đối tượng, </w:t>
      </w:r>
      <w:r w:rsidRPr="001568F9">
        <w:rPr>
          <w:i/>
          <w:spacing w:val="-4"/>
          <w:szCs w:val="28"/>
          <w:lang w:val="en-GB"/>
        </w:rPr>
        <w:t>0</w:t>
      </w:r>
      <w:r w:rsidRPr="001568F9">
        <w:rPr>
          <w:i/>
          <w:spacing w:val="-4"/>
          <w:szCs w:val="28"/>
          <w:lang w:val="vi-VN"/>
        </w:rPr>
        <w:t>5 vụ - 08 đối tượng</w:t>
      </w:r>
      <w:r w:rsidRPr="001568F9">
        <w:rPr>
          <w:i/>
          <w:spacing w:val="-4"/>
          <w:szCs w:val="28"/>
        </w:rPr>
        <w:t>)</w:t>
      </w:r>
      <w:r w:rsidRPr="001568F9">
        <w:rPr>
          <w:bCs/>
          <w:spacing w:val="2"/>
          <w:szCs w:val="28"/>
        </w:rPr>
        <w:t>,</w:t>
      </w:r>
      <w:r w:rsidRPr="001568F9">
        <w:rPr>
          <w:szCs w:val="28"/>
          <w:lang w:val="nl-NL"/>
        </w:rPr>
        <w:t xml:space="preserve"> tội phạm về ma túy, vi phạm pháp luật về kinh tế, môi trường được phát hiện, xử lý nhiều hơn; </w:t>
      </w:r>
      <w:r w:rsidRPr="001568F9">
        <w:rPr>
          <w:spacing w:val="-2"/>
          <w:szCs w:val="28"/>
          <w:lang w:val="en-GB"/>
        </w:rPr>
        <w:t>hoàn thành chỉ tiêu cấp CCCD, đẩy nhanh tiến độ kích hoạt tài khoản định danh điện tử.</w:t>
      </w:r>
    </w:p>
    <w:p w14:paraId="771DCD6C" w14:textId="77777777" w:rsidR="00435FB6" w:rsidRDefault="003647F0"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szCs w:val="28"/>
        </w:rPr>
        <w:t xml:space="preserve">Trong 07 nhóm chỉ tiêu </w:t>
      </w:r>
      <w:r w:rsidRPr="001568F9">
        <w:rPr>
          <w:szCs w:val="28"/>
          <w:lang w:val="vi-VN"/>
        </w:rPr>
        <w:t xml:space="preserve">về kinh tế - xã hội, đảm bảo quốc phòng – an ninh, </w:t>
      </w:r>
      <w:r w:rsidRPr="001568F9">
        <w:rPr>
          <w:szCs w:val="28"/>
        </w:rPr>
        <w:t xml:space="preserve">với 20 chỉ tiêu chính và 27 chỉ tiêu thành phần theo Nghị quyết HĐND thành phố </w:t>
      </w:r>
      <w:r w:rsidRPr="001568F9">
        <w:rPr>
          <w:szCs w:val="28"/>
          <w:lang w:val="vi-VN"/>
        </w:rPr>
        <w:t xml:space="preserve">đề ra. Kết quả thực hiện như sau: </w:t>
      </w:r>
      <w:r w:rsidRPr="001568F9">
        <w:rPr>
          <w:szCs w:val="28"/>
        </w:rPr>
        <w:t>C</w:t>
      </w:r>
      <w:r w:rsidRPr="001568F9">
        <w:rPr>
          <w:kern w:val="28"/>
          <w:szCs w:val="28"/>
          <w:lang w:val="nl-NL"/>
        </w:rPr>
        <w:t xml:space="preserve">ó 02 nhóm chỉ tiêu nổi </w:t>
      </w:r>
      <w:r w:rsidRPr="001568F9">
        <w:rPr>
          <w:kern w:val="28"/>
          <w:szCs w:val="28"/>
          <w:lang w:val="vi-VN"/>
        </w:rPr>
        <w:t>bật,</w:t>
      </w:r>
      <w:r w:rsidRPr="001568F9">
        <w:rPr>
          <w:kern w:val="28"/>
          <w:szCs w:val="28"/>
          <w:lang w:val="nl-NL"/>
        </w:rPr>
        <w:t xml:space="preserve"> </w:t>
      </w:r>
      <w:r w:rsidRPr="001568F9">
        <w:rPr>
          <w:kern w:val="28"/>
          <w:szCs w:val="28"/>
          <w:lang w:val="vi-VN"/>
        </w:rPr>
        <w:t>02</w:t>
      </w:r>
      <w:r w:rsidRPr="001568F9">
        <w:rPr>
          <w:kern w:val="28"/>
          <w:szCs w:val="28"/>
          <w:lang w:val="nl-NL"/>
        </w:rPr>
        <w:t xml:space="preserve"> chỉ tiêu thành phần của nhóm chỉ </w:t>
      </w:r>
      <w:r w:rsidRPr="001568F9">
        <w:rPr>
          <w:kern w:val="28"/>
          <w:szCs w:val="28"/>
          <w:lang w:val="vi-VN"/>
        </w:rPr>
        <w:t>t</w:t>
      </w:r>
      <w:r w:rsidRPr="001568F9">
        <w:rPr>
          <w:kern w:val="28"/>
          <w:szCs w:val="28"/>
          <w:lang w:val="nl-NL"/>
        </w:rPr>
        <w:t xml:space="preserve">iêu kinh </w:t>
      </w:r>
      <w:r w:rsidRPr="001568F9">
        <w:rPr>
          <w:kern w:val="28"/>
          <w:szCs w:val="28"/>
          <w:lang w:val="vi-VN"/>
        </w:rPr>
        <w:t>tế, văn hóa – xã hội</w:t>
      </w:r>
      <w:r w:rsidRPr="001568F9">
        <w:rPr>
          <w:kern w:val="28"/>
          <w:szCs w:val="28"/>
          <w:lang w:val="nl-NL"/>
        </w:rPr>
        <w:t xml:space="preserve"> đạt vượt kế hoạch,</w:t>
      </w:r>
      <w:r w:rsidRPr="001568F9">
        <w:rPr>
          <w:szCs w:val="28"/>
        </w:rPr>
        <w:t xml:space="preserve"> </w:t>
      </w:r>
      <w:r w:rsidRPr="001568F9">
        <w:rPr>
          <w:kern w:val="28"/>
          <w:szCs w:val="28"/>
          <w:lang w:val="nl-NL"/>
        </w:rPr>
        <w:t>Gồm: Các chỉ tiêu quy hoạch – xây dựng; Chỉ tiêu về môi trường; Chỉ tiêu về kinh tế, chỉ tiêu văn hóa – xã hội (công nhận 02 trường chuẩn quốc gia mức độ 2)</w:t>
      </w:r>
      <w:r w:rsidRPr="001568F9">
        <w:rPr>
          <w:kern w:val="28"/>
          <w:szCs w:val="28"/>
          <w:lang w:val="vi-VN"/>
        </w:rPr>
        <w:t>; c</w:t>
      </w:r>
      <w:r w:rsidRPr="001568F9">
        <w:rPr>
          <w:szCs w:val="28"/>
        </w:rPr>
        <w:t>ó 04 nhóm chỉ tiêu đạt kế hoạch, Gồm: Các chỉ tiêu văn hóa, xã hội (02); Chỉ tiêu về quốc phòng – an ninh (02); Chỉ tiêu về xây dựng chính quyền (02); Chỉ tiêu cải cách hành chính (01).</w:t>
      </w:r>
    </w:p>
    <w:p w14:paraId="4BFFD45E" w14:textId="77777777" w:rsidR="00435FB6" w:rsidRDefault="003647F0"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b/>
          <w:i/>
          <w:szCs w:val="28"/>
          <w:lang w:val="pt-BR"/>
        </w:rPr>
        <w:t xml:space="preserve">Công tác cải cách hành chính gắn với chuyển đổi số </w:t>
      </w:r>
      <w:r w:rsidRPr="001568F9">
        <w:rPr>
          <w:szCs w:val="28"/>
          <w:lang w:val="vi-VN"/>
        </w:rPr>
        <w:t>Ngay từ đầu năm</w:t>
      </w:r>
      <w:r w:rsidRPr="001568F9">
        <w:rPr>
          <w:szCs w:val="28"/>
        </w:rPr>
        <w:t xml:space="preserve"> 2023</w:t>
      </w:r>
      <w:r w:rsidRPr="001568F9">
        <w:rPr>
          <w:szCs w:val="28"/>
          <w:lang w:val="vi-VN"/>
        </w:rPr>
        <w:t>, UBND thành phố đã ban hành Kế hoạch CCHC nhà nước năm 2023</w:t>
      </w:r>
      <w:r w:rsidRPr="001568F9">
        <w:rPr>
          <w:szCs w:val="28"/>
        </w:rPr>
        <w:t xml:space="preserve"> và</w:t>
      </w:r>
      <w:r w:rsidRPr="001568F9">
        <w:rPr>
          <w:rFonts w:eastAsia="Calibri"/>
          <w:szCs w:val="28"/>
        </w:rPr>
        <w:t xml:space="preserve"> nhiều văn bản chỉ đạo, điều hành thực hiện CCHC. </w:t>
      </w:r>
      <w:r w:rsidRPr="001568F9">
        <w:rPr>
          <w:szCs w:val="28"/>
          <w:lang w:val="nl-NL"/>
        </w:rPr>
        <w:t>Đã bám sát nội dung, chương trình CCHC của tỉnh để ban hành kế hoạch thực hiện, thường xuyên chỉ đạo các phòng ban, đơn vị, UBND các xã, phường đẩy mạnh công tác CCHC trên tất cả các lĩnh vực.</w:t>
      </w:r>
      <w:r w:rsidRPr="001568F9">
        <w:rPr>
          <w:rFonts w:eastAsia="Calibri"/>
          <w:szCs w:val="28"/>
        </w:rPr>
        <w:t xml:space="preserve"> </w:t>
      </w:r>
      <w:r w:rsidRPr="001568F9">
        <w:rPr>
          <w:spacing w:val="-6"/>
          <w:szCs w:val="28"/>
          <w:lang w:val="pt-BR"/>
        </w:rPr>
        <w:t xml:space="preserve">Năm 2022 thành phố Buôn Ma Thuột dẫn đầu về chỉ số CCHC và công tác Chuyển đổi số đối cấp huyện. Năm 2023, Thành phố đang triển khai thực hiện tự đánh giá chấm điểm chỉ số CCHC theo hướng dẫn của Sở Nội vụ. </w:t>
      </w:r>
      <w:r w:rsidRPr="001568F9">
        <w:rPr>
          <w:szCs w:val="28"/>
        </w:rPr>
        <w:t xml:space="preserve">Công tác CCHC của thành phố từng bước hoàn thiện, minh bạch, mang lại hiệu quả tích cực, bám sát kế hoạch của UBND tỉnh, tăng cường công tác lãnh đạo, chỉ đạo, đổi mới tổ chức, phương thức hoạt động của bộ máy hành chính, sự công khai, minh bạch của chính quyền các cấp đã mang lại sự hài lòng của người dân, tổ chức khi giải quyết thủ tục hành chính. Việc đẩy mạnh ứng dụng công nghệ thông tin trong quản lý điều hành và CCHC đã mang lại kết quả tích cực, góp phần nâng cao hiệu quả hoạt động của cơ quan chuyên môn, chính quyền địa phương. Triển khai hệ thống giám sát an toàn thông tin cho hệ thống thông tin tại trụ sở UBND Thành phố. Triển khai mạng số liệu chuyên dùng cấp II cho 21 phường, xã và Văn phòng HĐND và UBND Thành phố để triển khai hệ thống hội nghị truyền hình trực tuyến từ Thành phố đến phường, xã: Thành phố có 22 điểm cầu Hội nghị truyền hình trực tuyến (01 điểm cầu tại trụ sở UBND Thành phố và 21 điểm cầu tại các phường, xã) phục vụ các cuộc họp trực tuyến của Thành phố với Tỉnh và Thành phố với phường, xã. Phối hợp với Sở Thông tin và Truyền thông triển khai các dịch vụ phản ánh hiện trường trên địa bàn Thành phố. Trong năm 2023 đã tiếp nhận 1.020 phản ánh, đã xử lý 983 phản ánh, đang xử lý 37 phản ánh. 100% cơ </w:t>
      </w:r>
      <w:r w:rsidRPr="001568F9">
        <w:rPr>
          <w:szCs w:val="28"/>
        </w:rPr>
        <w:lastRenderedPageBreak/>
        <w:t>quan, đơn vị và UBND các phường, xã có mạng nội bộ, kết nối internet băng thông rộng, ... Tăng cường công tác tuyên truyền về chuyển đổi số trên các phương tiện thông tin đại chúng, bằng nhiều hình thức đa dạng và phong phú. Bộ phận tiếp nhận và trả kết quả thủ tục hành chính thành phố tiếp tục duy trì hoạt động có hiệu quả, góp phần nâng cao hiệu quả hoạt động chỉ đạo điều hành của thành phố và lãnh đạo thành phố.</w:t>
      </w:r>
      <w:r w:rsidRPr="001568F9">
        <w:rPr>
          <w:bCs/>
          <w:szCs w:val="28"/>
        </w:rPr>
        <w:t xml:space="preserve"> Tổ chức Hội nghị đối thoại của lãnh đạo thành phố với doanh nghiệp thành phố. </w:t>
      </w:r>
      <w:r w:rsidRPr="001568F9">
        <w:rPr>
          <w:szCs w:val="28"/>
        </w:rPr>
        <w:t xml:space="preserve">Tỷ lệ hồ sơ trực tuyến toàn trình (mức độ 4) và một phần (mức độ 3)/tổng số hồ sơ đạt 47,5% (toàn trình: 34%; một phần: 13,5%); Tỷ lệ ký số đạt </w:t>
      </w:r>
      <w:r w:rsidRPr="001568F9">
        <w:rPr>
          <w:szCs w:val="28"/>
          <w:lang w:val="vi-VN"/>
        </w:rPr>
        <w:t>100</w:t>
      </w:r>
      <w:r w:rsidRPr="001568F9">
        <w:rPr>
          <w:szCs w:val="28"/>
        </w:rPr>
        <w:t>%; Tỷ lệ cập nhật hồ sơ lên hệ thống Igate đạt 100%;</w:t>
      </w:r>
      <w:r w:rsidRPr="001568F9">
        <w:rPr>
          <w:szCs w:val="28"/>
          <w:lang w:val="vi-VN"/>
        </w:rPr>
        <w:t xml:space="preserve"> Mức độ hài lòng của tổ chức, cá nhân đối với cán bộ công chức tại Bộ phận Tiếp nhận và Trả kết quả thủ tục hành chính của Thành phố đạt </w:t>
      </w:r>
      <w:r w:rsidRPr="001568F9">
        <w:rPr>
          <w:szCs w:val="28"/>
        </w:rPr>
        <w:t>100%.</w:t>
      </w:r>
    </w:p>
    <w:p w14:paraId="0CE82383" w14:textId="77777777" w:rsidR="00435FB6" w:rsidRDefault="003647F0"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pacing w:val="-4"/>
          <w:szCs w:val="28"/>
          <w:shd w:val="clear" w:color="auto" w:fill="FFFFFF"/>
          <w:lang w:val="pt-PT"/>
        </w:rPr>
      </w:pPr>
      <w:r w:rsidRPr="001568F9">
        <w:rPr>
          <w:b/>
          <w:i/>
          <w:szCs w:val="28"/>
        </w:rPr>
        <w:t xml:space="preserve">Về xúc tiến đầu tư: </w:t>
      </w:r>
      <w:r w:rsidRPr="001568F9">
        <w:rPr>
          <w:szCs w:val="28"/>
          <w:lang w:val="af-ZA" w:eastAsia="vi-VN"/>
        </w:rPr>
        <w:t xml:space="preserve">UBND thành phố chủ trì và phối hợp thực hiện cùng các </w:t>
      </w:r>
      <w:r w:rsidRPr="001568F9">
        <w:rPr>
          <w:szCs w:val="28"/>
          <w:lang w:val="pt-PT" w:eastAsia="vi-VN"/>
        </w:rPr>
        <w:t xml:space="preserve">Sở ngành, Trung tâm xúc tiến đầu tư của tỉnh để tăng cường hoạt động xúc tiến đầu tư, góp ý và cho ý kiến tính khả thi các dự án đề xuất đầu tư có sử dụng đất trên địa bàn thành phố. Kết quả kêu gọi dự án đầu tư trên địa bàn thành phố, với tổng kinh phí đầu tư </w:t>
      </w:r>
      <w:r w:rsidRPr="001568F9">
        <w:rPr>
          <w:szCs w:val="28"/>
          <w:lang w:val="pt-PT"/>
        </w:rPr>
        <w:t xml:space="preserve">khoảng 2.880 </w:t>
      </w:r>
      <w:r w:rsidRPr="001568F9">
        <w:rPr>
          <w:szCs w:val="28"/>
          <w:lang w:val="pt-PT" w:eastAsia="vi-VN"/>
        </w:rPr>
        <w:t>tỷ đồng. Thành phố t</w:t>
      </w:r>
      <w:r w:rsidRPr="001568F9">
        <w:rPr>
          <w:szCs w:val="28"/>
          <w:lang w:val="eu-ES"/>
        </w:rPr>
        <w:t xml:space="preserve">hực hiện 02 dự án đầu tư theo hình thức đối tác công tư (PPP), với tổng mức vốn đầu tư là 883 tỷ đồng, 02 dự án đang trong quá trình triển khai thi công. </w:t>
      </w:r>
      <w:r w:rsidRPr="001568F9">
        <w:rPr>
          <w:szCs w:val="28"/>
          <w:lang w:val="af-ZA"/>
        </w:rPr>
        <w:t>Huy động đầu tư xây dựng 01 chợ xã (chợ Buôn Kao – xã Ea Kao khởi công xây dựng tháng 10/2022, tổng mức đầu tư: 9,2 tỷ đồng, trong đó: phương án huy động vốn hơn 04 tỷ đồng)</w:t>
      </w:r>
      <w:r w:rsidRPr="001568F9">
        <w:rPr>
          <w:szCs w:val="28"/>
          <w:lang w:val="eu-ES"/>
        </w:rPr>
        <w:t>. Đ</w:t>
      </w:r>
      <w:r w:rsidRPr="001568F9">
        <w:rPr>
          <w:szCs w:val="28"/>
          <w:lang w:val="pt-PT" w:eastAsia="vi-VN"/>
        </w:rPr>
        <w:t xml:space="preserve">ể tăng cường khai thác và quản lý đồng bộ các khu, cụm công nghiệp trên địa bàn, thành phố đã chủ động đề xuất và tham gia góp ý để Sở Công thương trình UBND tỉnh ban hành </w:t>
      </w:r>
      <w:r w:rsidRPr="001568F9">
        <w:rPr>
          <w:szCs w:val="28"/>
          <w:lang w:val="pt-BR"/>
        </w:rPr>
        <w:t xml:space="preserve">Quyết định số 518/QĐ-UBND ngày 27/3/2023, </w:t>
      </w:r>
      <w:r w:rsidRPr="001568F9">
        <w:rPr>
          <w:szCs w:val="28"/>
          <w:lang w:val="pt-PT" w:eastAsia="vi-VN"/>
        </w:rPr>
        <w:t xml:space="preserve">phê duyệt Kế hoạch hoàn thành </w:t>
      </w:r>
      <w:r w:rsidRPr="001568F9">
        <w:rPr>
          <w:szCs w:val="28"/>
          <w:lang w:val="pt-BR"/>
        </w:rPr>
        <w:t>kết cấu hạ tầng cụm công nghiệp và triển khai thành lập khu chức năng: trung tâm logistics, công nghiệp công nghệ cao gắn với nghiên cứu sinh học và công nghệ chế biến nông, lâm sản; đây là một trong những nhiệm vụ trọng tâm tại Nghị quyết số 103/NQ-CP và Nghị quyết số 05-NQ/TU của Tỉnh ủy và Chương trình số 10-CTr/TU của Thành ủy.</w:t>
      </w:r>
      <w:r w:rsidRPr="001568F9">
        <w:rPr>
          <w:szCs w:val="28"/>
          <w:lang w:val="nl-NL"/>
        </w:rPr>
        <w:t xml:space="preserve"> Với hệ thống cơ sở hạ tầng kỹ thuật được quan tâm đầu tư, lũy kế đến nay đã thu hút được nhiều dự án vào Khu công nghiệp Hòa Phú, Cụm CN Tân An 1, 2 và các cơ sở sản xuất ngoài khu, cụm CN. </w:t>
      </w:r>
      <w:r w:rsidRPr="001568F9">
        <w:rPr>
          <w:rFonts w:eastAsia="Arial Unicode MS"/>
          <w:spacing w:val="-2"/>
          <w:szCs w:val="28"/>
          <w:bdr w:val="none" w:sz="0" w:space="0" w:color="auto" w:frame="1"/>
          <w:lang w:val="eu-ES"/>
        </w:rPr>
        <w:t>UBND Thành phố tăng cường và chủ động đề xuất kêu gọi các dự án đầu tư ngoài ngân sách để đầu tư các dự án trên địa bàn nhằm thúc đẩy phát triển kinh tế - xã hội trên địa bàn thành phố như: Chợ Tân An, Chợ Phan Đình Phùng, Chợ Chi Lăng Khánh Xuân, Trường Mầm Non Đoàn Khuê, đấu giá đất thực hiện các dự án thuộc lĩnh vực thương mại dịch vụ đã được tỉnh giao nhiệm vụ cho thành phố thực hiện đấu giá trên địa bàn, nhằm mục đích vừa tăng nguồn thu ổn định vừa hình thành nhiều dự án phục vụ phát triển kinh tế - xã hội trên địa bàn.</w:t>
      </w:r>
      <w:r w:rsidRPr="001568F9">
        <w:rPr>
          <w:szCs w:val="28"/>
          <w:lang w:val="eu-ES"/>
        </w:rPr>
        <w:t xml:space="preserve"> </w:t>
      </w:r>
      <w:r w:rsidRPr="001568F9">
        <w:rPr>
          <w:szCs w:val="28"/>
          <w:lang w:val="eu-ES" w:eastAsia="vi-VN"/>
        </w:rPr>
        <w:t>Bên cạnh đó</w:t>
      </w:r>
      <w:r w:rsidRPr="001568F9">
        <w:rPr>
          <w:szCs w:val="28"/>
          <w:lang w:val="vi-VN" w:eastAsia="vi-VN"/>
        </w:rPr>
        <w:t xml:space="preserve">, HĐND thành phố ban hành Nghị quyết </w:t>
      </w:r>
      <w:r w:rsidRPr="001568F9">
        <w:rPr>
          <w:spacing w:val="-4"/>
          <w:szCs w:val="28"/>
          <w:shd w:val="clear" w:color="auto" w:fill="FFFFFF"/>
          <w:lang w:val="pt-PT"/>
        </w:rPr>
        <w:t>thí điểm cải tạo, nâng cấp các tuyến vỉa hè bằng đá tự nhiên và trồng cây xanh trên vỉa hè ở các phường trung tâm có đông dân cư sinh sống ổn định theo hình thức nhà nước và nhân dân cùng làm, đó góp của người dân là 7.768 triệu đồng/36.761 triệu đồng.</w:t>
      </w:r>
    </w:p>
    <w:p w14:paraId="221BCEB9" w14:textId="77777777" w:rsidR="00435FB6" w:rsidRDefault="003647F0" w:rsidP="001D496B">
      <w:pPr>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b/>
          <w:bCs/>
          <w:szCs w:val="28"/>
        </w:rPr>
      </w:pPr>
      <w:r w:rsidRPr="001568F9">
        <w:rPr>
          <w:b/>
          <w:bCs/>
          <w:szCs w:val="28"/>
        </w:rPr>
        <w:t xml:space="preserve">* </w:t>
      </w:r>
      <w:r w:rsidR="002270ED" w:rsidRPr="001568F9">
        <w:rPr>
          <w:b/>
          <w:bCs/>
          <w:szCs w:val="28"/>
        </w:rPr>
        <w:t xml:space="preserve">Cải thiện kết quả đánh giá của doanh nghiệp về tính năng động và tiên phong của chính quyền địa phương, tạo lập môi trường đầu tư kinh doanh </w:t>
      </w:r>
      <w:r w:rsidR="002270ED" w:rsidRPr="001568F9">
        <w:rPr>
          <w:b/>
          <w:bCs/>
          <w:szCs w:val="28"/>
        </w:rPr>
        <w:lastRenderedPageBreak/>
        <w:t>thuận lợi về cơ chế, chính sách, hỗ trợ các nguồn lực cần thiết cũng như tạo điều kiện thuận lợi cho doanh nghiệp phát triển là những mục tiêu quan trọng hàng đầu mà thành phố Buôn Ma Thuột nỗ lực thực hiện.</w:t>
      </w:r>
    </w:p>
    <w:p w14:paraId="6CB925A4" w14:textId="7A04AD3B" w:rsidR="00435FB6" w:rsidRDefault="00FC63DC"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szCs w:val="28"/>
        </w:rPr>
        <w:t>Năm 2023, thành phố được xếp hạng 01 về chỉ số CCHC (PAR INDEX) (Quyết định số 1858/QĐ-UBND ngày 08/7/2024 của UBND tỉnh) và hạng 01 về chỉ số Chuyển đổi số (Quyết định số 1829/QĐ-UBND ngày 03/7/2024 của UBND tỉnh).</w:t>
      </w:r>
    </w:p>
    <w:p w14:paraId="0315C32C" w14:textId="77777777" w:rsidR="00435FB6" w:rsidRDefault="002270ED"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szCs w:val="28"/>
        </w:rPr>
        <w:t>Năm 2022</w:t>
      </w:r>
      <w:r w:rsidR="00BA5D83" w:rsidRPr="001568F9">
        <w:rPr>
          <w:szCs w:val="28"/>
        </w:rPr>
        <w:t xml:space="preserve"> là năm thứ 2 liên tiếp</w:t>
      </w:r>
      <w:r w:rsidRPr="001568F9">
        <w:rPr>
          <w:szCs w:val="28"/>
        </w:rPr>
        <w:t>, Chỉ số đánh giá năng lực điều hành cấp sở, ban, ngành và địa phương thuộc tỉnh Đắk Lắk năm 2022 (DDCI Đắk Lắk 2022) thành phố Buôn Ma Thuột xếp thứ 02/15 huyện, thị xã, thành phố.</w:t>
      </w:r>
    </w:p>
    <w:p w14:paraId="24E6C74F" w14:textId="77777777" w:rsidR="00435FB6" w:rsidRDefault="002270ED"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szCs w:val="28"/>
        </w:rPr>
        <w:t>Theo đó Bộ chỉ số DDCI Đắk Lắk 2022 bao gồm 9 CSTP là: (1) Tính minh bạch; (2) Tính năng động; (3) Chi phí thời gian; (4) CPKCT; (5) Cạnh tranh bình đẳng; (6) Hỗ trợ DN; (7) Thiết chế pháp lý; (8) Vai trò người đứng đầu và (9) Tiếp cận đất đai và ổn định trong sử dụng đất. Trong đó CSTP Tính năng động đã được UBND thành phố quan tâm nỗ lực cải thiện, đồng thời cải thiện môi trường kinh doanh, hỗ trợ doanh nghiệp</w:t>
      </w:r>
      <w:r w:rsidR="00CD49A1" w:rsidRPr="001568F9">
        <w:rPr>
          <w:szCs w:val="28"/>
        </w:rPr>
        <w:t xml:space="preserve"> nhàm mục tiêu cải thiện chỉ số PCI từ cấp cơ sở</w:t>
      </w:r>
      <w:r w:rsidRPr="001568F9">
        <w:rPr>
          <w:szCs w:val="28"/>
        </w:rPr>
        <w:t>.</w:t>
      </w:r>
      <w:r w:rsidR="004A1AE0" w:rsidRPr="001568F9">
        <w:rPr>
          <w:szCs w:val="28"/>
        </w:rPr>
        <w:t xml:space="preserve"> </w:t>
      </w:r>
      <w:r w:rsidR="005F18ED" w:rsidRPr="001568F9">
        <w:rPr>
          <w:spacing w:val="-2"/>
          <w:szCs w:val="28"/>
          <w:lang w:val="nl-NL"/>
        </w:rPr>
        <w:t xml:space="preserve">UBND Thành phố </w:t>
      </w:r>
      <w:r w:rsidR="00CD49A1" w:rsidRPr="001568F9">
        <w:rPr>
          <w:spacing w:val="-2"/>
          <w:szCs w:val="28"/>
          <w:lang w:val="nl-NL"/>
        </w:rPr>
        <w:t>đã</w:t>
      </w:r>
      <w:r w:rsidR="005F18ED" w:rsidRPr="001568F9">
        <w:rPr>
          <w:spacing w:val="-2"/>
          <w:szCs w:val="28"/>
          <w:lang w:val="nl-NL"/>
        </w:rPr>
        <w:t xml:space="preserve"> tổ chức gặp gỡ, đối thoại, kịp thời giải quyết khó khăn vướng mắc của doanh nghiệp theo thẩm quyền; chủ động nghiên cứu, triển khai đồng bộ mô hình Hội nghị đối thoại doanh nghiệp tại đơn vị, địa phương.</w:t>
      </w:r>
      <w:r w:rsidR="004A1AE0" w:rsidRPr="001568F9">
        <w:rPr>
          <w:spacing w:val="-2"/>
          <w:szCs w:val="28"/>
          <w:lang w:val="nl-NL"/>
        </w:rPr>
        <w:t xml:space="preserve"> </w:t>
      </w:r>
      <w:r w:rsidR="005F18ED" w:rsidRPr="001568F9">
        <w:rPr>
          <w:szCs w:val="28"/>
          <w:lang w:val="nb-NO"/>
        </w:rPr>
        <w:t xml:space="preserve">Thường xuyên rà soát, phát hiện </w:t>
      </w:r>
      <w:r w:rsidR="005F18ED" w:rsidRPr="001568F9">
        <w:rPr>
          <w:szCs w:val="28"/>
          <w:shd w:val="solid" w:color="FFFFFF" w:fill="auto"/>
          <w:lang w:val="nb-NO"/>
        </w:rPr>
        <w:t>những bất cập trong quy định pháp luật do tỉnh ban hành, kịp thời đề xuất tới cơ quan có thẩm quyền sửa đổi, bổ sung các quy định cho phù hợp với tình hình thực tế</w:t>
      </w:r>
      <w:r w:rsidR="005F18ED" w:rsidRPr="001568F9">
        <w:rPr>
          <w:szCs w:val="28"/>
          <w:lang w:val="nb-NO"/>
        </w:rPr>
        <w:t>.</w:t>
      </w:r>
      <w:r w:rsidR="004A1AE0" w:rsidRPr="001568F9">
        <w:rPr>
          <w:szCs w:val="28"/>
          <w:lang w:val="nb-NO"/>
        </w:rPr>
        <w:t xml:space="preserve"> Bên cạnh đó, UBND thành phố đã đặt ra những </w:t>
      </w:r>
      <w:r w:rsidR="00BA5D83" w:rsidRPr="001568F9">
        <w:rPr>
          <w:b/>
          <w:szCs w:val="28"/>
          <w:lang w:val="nl-NL"/>
        </w:rPr>
        <w:t xml:space="preserve">Giải pháp cải thiện chỉ số </w:t>
      </w:r>
      <w:r w:rsidR="004A1AE0" w:rsidRPr="001568F9">
        <w:rPr>
          <w:b/>
          <w:szCs w:val="28"/>
          <w:lang w:val="nl-NL"/>
        </w:rPr>
        <w:t>DDCI</w:t>
      </w:r>
      <w:r w:rsidR="00BA5D83" w:rsidRPr="001568F9">
        <w:rPr>
          <w:b/>
          <w:szCs w:val="28"/>
          <w:lang w:val="nl-NL"/>
        </w:rPr>
        <w:t xml:space="preserve"> p</w:t>
      </w:r>
      <w:r w:rsidR="009A6785" w:rsidRPr="001568F9">
        <w:rPr>
          <w:b/>
          <w:szCs w:val="28"/>
          <w:lang w:val="nl-NL"/>
        </w:rPr>
        <w:t xml:space="preserve">hấn đấu nâng bậc </w:t>
      </w:r>
      <w:r w:rsidR="004A1AE0" w:rsidRPr="001568F9">
        <w:rPr>
          <w:szCs w:val="28"/>
        </w:rPr>
        <w:t>Chỉ số đánh giá năng lực điều hành cấp sở, ban, ngành và địa phương thuộc tỉnh Đắk Lắk năm 2024</w:t>
      </w:r>
      <w:r w:rsidR="00EC32B1" w:rsidRPr="001568F9">
        <w:rPr>
          <w:szCs w:val="28"/>
        </w:rPr>
        <w:t xml:space="preserve"> như</w:t>
      </w:r>
      <w:r w:rsidR="004A1AE0" w:rsidRPr="001568F9">
        <w:rPr>
          <w:szCs w:val="28"/>
        </w:rPr>
        <w:t>:</w:t>
      </w:r>
    </w:p>
    <w:p w14:paraId="2DCA653D" w14:textId="77777777" w:rsidR="00435FB6" w:rsidRDefault="00BA5D83"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szCs w:val="28"/>
        </w:rPr>
        <w:t xml:space="preserve">1. Tăng cường khả năng tiếp cận thông tin của </w:t>
      </w:r>
      <w:r w:rsidR="00996E91" w:rsidRPr="001568F9">
        <w:rPr>
          <w:szCs w:val="28"/>
        </w:rPr>
        <w:t>Doanh nghiệp</w:t>
      </w:r>
      <w:r w:rsidRPr="001568F9">
        <w:rPr>
          <w:szCs w:val="28"/>
        </w:rPr>
        <w:t>.</w:t>
      </w:r>
      <w:r w:rsidR="00996E91" w:rsidRPr="001568F9">
        <w:rPr>
          <w:szCs w:val="28"/>
        </w:rPr>
        <w:t xml:space="preserve"> Xác định t</w:t>
      </w:r>
      <w:r w:rsidRPr="001568F9">
        <w:rPr>
          <w:szCs w:val="28"/>
        </w:rPr>
        <w:t xml:space="preserve">ính minh bạch là một trong những CSTP còn nhiều dư địa để cải thiện. </w:t>
      </w:r>
      <w:r w:rsidR="00996E91" w:rsidRPr="001568F9">
        <w:rPr>
          <w:szCs w:val="28"/>
        </w:rPr>
        <w:t>N</w:t>
      </w:r>
      <w:r w:rsidRPr="001568F9">
        <w:rPr>
          <w:szCs w:val="28"/>
        </w:rPr>
        <w:t>hiệm vụ đảm bảo quyền tiếp cận thông tin của DN là nhiệm vụ thường xuyên, liên tục, gắn với quá trình thực hiện các nhiệm vụ chuyên môn. Lấy DN là mục tiêu, là thước đo hiệu quả hoạt động của mình. Ngoài ra</w:t>
      </w:r>
      <w:r w:rsidR="000906D0" w:rsidRPr="001568F9">
        <w:rPr>
          <w:szCs w:val="28"/>
        </w:rPr>
        <w:t xml:space="preserve">, </w:t>
      </w:r>
      <w:r w:rsidRPr="001568F9">
        <w:rPr>
          <w:szCs w:val="28"/>
        </w:rPr>
        <w:t>chú trọng đến năng lực thực thi công vụ và chất lượng hoạt động của các đơn vị</w:t>
      </w:r>
      <w:r w:rsidR="000906D0" w:rsidRPr="001568F9">
        <w:rPr>
          <w:szCs w:val="28"/>
        </w:rPr>
        <w:t xml:space="preserve"> thuộc thành phố</w:t>
      </w:r>
      <w:r w:rsidRPr="001568F9">
        <w:rPr>
          <w:szCs w:val="28"/>
        </w:rPr>
        <w:t xml:space="preserve">. Bởi vì, DN chỉ dễ dàng tiếp cận thông tin khi các cơ quan nhà nước hoạt động hiệu quả, hiệu lực, lấy người dân, DN là mục tiêu để phục vụ, khi đó các thông tin sẽ được minh bạch, công khai, cung cấp nhanh chóng và đầy đủ. </w:t>
      </w:r>
      <w:r w:rsidR="000906D0" w:rsidRPr="001568F9">
        <w:rPr>
          <w:szCs w:val="28"/>
        </w:rPr>
        <w:t>Đ</w:t>
      </w:r>
      <w:r w:rsidRPr="001568F9">
        <w:rPr>
          <w:szCs w:val="28"/>
        </w:rPr>
        <w:t xml:space="preserve">ảm bảo mọi DN có thể dễ dàng, thuận lợi nhất trong việc tiếp cận thông tin thông qua việc tóm tắt, tóm lược các nội dung quan trọng. </w:t>
      </w:r>
      <w:r w:rsidR="000906D0" w:rsidRPr="001568F9">
        <w:rPr>
          <w:szCs w:val="28"/>
        </w:rPr>
        <w:t>Thành phố luôn xác định phải</w:t>
      </w:r>
      <w:r w:rsidRPr="001568F9">
        <w:rPr>
          <w:szCs w:val="28"/>
        </w:rPr>
        <w:t xml:space="preserve"> chủ động đề xuất, thực hiện các giải pháp tăng cường ứng dụng công nghệ thông tin để cung cấp nhanh gọn, đầy đủ, chính xác thông tin mà công dân yêu cầu trên các cổng/trang thông tin điện tử. Các thông tin, tài liệu, cơ sở dữ liệu do các đơn vị có thể cung cấp cho DN được đăng tải một cách khoa học và có hệ thống để DN có thể tiếp cận sử dụng một cách nhanh gọn và thuận tiện.</w:t>
      </w:r>
    </w:p>
    <w:p w14:paraId="59F19F26" w14:textId="77777777" w:rsidR="00435FB6" w:rsidRDefault="00BA5D83" w:rsidP="00243A33">
      <w:pPr>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szCs w:val="28"/>
        </w:rPr>
        <w:t>2. Tiếp tục thực hiện các nỗ lực cắt giảm CPKCT</w:t>
      </w:r>
      <w:r w:rsidR="00BF4C2C" w:rsidRPr="001568F9">
        <w:rPr>
          <w:szCs w:val="28"/>
        </w:rPr>
        <w:t>.</w:t>
      </w:r>
      <w:r w:rsidRPr="001568F9">
        <w:rPr>
          <w:szCs w:val="28"/>
        </w:rPr>
        <w:t xml:space="preserve"> </w:t>
      </w:r>
      <w:r w:rsidR="00BF4C2C" w:rsidRPr="001568F9">
        <w:rPr>
          <w:szCs w:val="28"/>
        </w:rPr>
        <w:t>Thành phố đã đặt ra c</w:t>
      </w:r>
      <w:r w:rsidRPr="001568F9">
        <w:rPr>
          <w:szCs w:val="28"/>
        </w:rPr>
        <w:t xml:space="preserve">ác giải pháp cần tập trung thực hiện là (1) Đẩy mạnh việc ứng dụng CNTT để giám sát việc thực hiện TTHC, (2) Thanh tra, kiểm tra công vụ thường xuyên, (3) Gắn chặt trách </w:t>
      </w:r>
      <w:r w:rsidRPr="001568F9">
        <w:rPr>
          <w:szCs w:val="28"/>
        </w:rPr>
        <w:lastRenderedPageBreak/>
        <w:t xml:space="preserve">nhiệm kiểm soát tham nhũng với công tác đánh giá cán bộ. </w:t>
      </w:r>
      <w:r w:rsidR="00BF4C2C" w:rsidRPr="001568F9">
        <w:rPr>
          <w:szCs w:val="28"/>
        </w:rPr>
        <w:t>X</w:t>
      </w:r>
      <w:r w:rsidRPr="001568F9">
        <w:rPr>
          <w:szCs w:val="28"/>
        </w:rPr>
        <w:t>ử lý nghiêm đối với các hành vi vi phạm kỷ luật, kỷ cương hành chính của cán bộ; ngoài việc xử lý kỷ luật đối với cán bộ vi phạm còn xem xét, xử lý trách nhiệm đối với người đứng đầu cơ quan,</w:t>
      </w:r>
      <w:r w:rsidR="00BF4C2C" w:rsidRPr="001568F9">
        <w:rPr>
          <w:szCs w:val="28"/>
        </w:rPr>
        <w:t xml:space="preserve"> đơn vị,</w:t>
      </w:r>
      <w:r w:rsidRPr="001568F9">
        <w:rPr>
          <w:szCs w:val="28"/>
        </w:rPr>
        <w:t xml:space="preserve"> địa phương. Bên cạnh đó thường xuyên rà soát để đơn giản hóa TTHC, không quy định thêm và kiên quyết loại bỏ những quy trình, khâu trung gian, giấy tờ không cần thiết; khắc phục tình trạng khép kín, thiếu công khai, minh bạch dễ phát sinh tiêu cực trong giải quyết các TTHC với DN và người dân.</w:t>
      </w:r>
      <w:r w:rsidR="00BF4C2C" w:rsidRPr="001568F9">
        <w:rPr>
          <w:szCs w:val="28"/>
        </w:rPr>
        <w:t xml:space="preserve"> Năm 2023, thành phố đã triển khai Sáng kiến kinh nghiệm</w:t>
      </w:r>
      <w:r w:rsidR="00444B21" w:rsidRPr="001568F9">
        <w:rPr>
          <w:szCs w:val="28"/>
        </w:rPr>
        <w:t>. Qua triển khai các đơn vị đã thực hiện và gửi về UBND Thành phố 42 sáng kiến, giải pháp. Kết quả đánh giá hoạt động sáng kiến năm 2023 của UBND thành phố và công nhận 20/42 sáng kiến, giải pháp</w:t>
      </w:r>
      <w:r w:rsidR="00BF4C2C" w:rsidRPr="001568F9">
        <w:rPr>
          <w:szCs w:val="28"/>
        </w:rPr>
        <w:t xml:space="preserve"> và </w:t>
      </w:r>
      <w:r w:rsidR="00444B21" w:rsidRPr="001568F9">
        <w:rPr>
          <w:szCs w:val="28"/>
        </w:rPr>
        <w:t>trong năm 2024 sẽ tổ chức phổ biến, tuyên truyền để các cơ quan, đơn vị, các phòng ban và UBND các phường, xã áp dụng vào công tác cải cách hành chính của đơn vị</w:t>
      </w:r>
      <w:r w:rsidR="00BF4C2C" w:rsidRPr="001568F9">
        <w:rPr>
          <w:szCs w:val="28"/>
        </w:rPr>
        <w:t>.</w:t>
      </w:r>
      <w:r w:rsidRPr="001568F9">
        <w:rPr>
          <w:szCs w:val="28"/>
        </w:rPr>
        <w:t xml:space="preserve"> </w:t>
      </w:r>
    </w:p>
    <w:p w14:paraId="0316C243" w14:textId="77777777" w:rsidR="00435FB6" w:rsidRDefault="00BA5D83"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szCs w:val="28"/>
        </w:rPr>
        <w:t xml:space="preserve">3. Thực hiện các giải pháp đồng bộ cải thiện chỉ số tiếp cận đất đai </w:t>
      </w:r>
      <w:r w:rsidR="003647F0" w:rsidRPr="001568F9">
        <w:rPr>
          <w:szCs w:val="28"/>
        </w:rPr>
        <w:t>bằng cách</w:t>
      </w:r>
      <w:r w:rsidRPr="001568F9">
        <w:rPr>
          <w:szCs w:val="28"/>
        </w:rPr>
        <w:t xml:space="preserve"> tiếp tục tập trung rút ngắn thời gian hoàn thành một số thủ tục hành chính để tạo điều kiện thuận lợi cho DN trong quá trình thực hiện. Bên cạnh đó, các văn bản quy phạm về đất đai như quy hoạch sử dụng đất, sửa đổi, bổ sung bảng giá các loại đất trên địa bàn tỉnh, sửa đổi, bổ sung chính sách bồi thường, hỗ trợ và tái định cư… </w:t>
      </w:r>
      <w:r w:rsidR="003647F0" w:rsidRPr="001568F9">
        <w:rPr>
          <w:szCs w:val="28"/>
        </w:rPr>
        <w:t>đã</w:t>
      </w:r>
      <w:r w:rsidRPr="001568F9">
        <w:rPr>
          <w:szCs w:val="28"/>
        </w:rPr>
        <w:t xml:space="preserve"> được rà soát, điều chỉnh cho phù hợp với điều kiện thực tế, đúng quy định và kịp thời. Đẩy mạnh kết nối liên thông điện tử để trao đổi thông tin dữ liệu đất đai giữa cơ quan đăng ký đất đai và cơ quan thuế trong việc xác định nghĩa vụ tài chính khi người sử dụng đất thực hiện giao dịch về đất đai và tài sản gắn liền với đất. Cùng với đó là công khai các quy hoạch, kế hoạch sử dụng đất, thông tin về khu đất, quỹ đất sạch bán đấu giá để DN dàng tiếp cận. </w:t>
      </w:r>
      <w:r w:rsidR="003647F0" w:rsidRPr="001568F9">
        <w:rPr>
          <w:szCs w:val="28"/>
        </w:rPr>
        <w:t>UBND thành phố đã</w:t>
      </w:r>
      <w:r w:rsidRPr="001568F9">
        <w:rPr>
          <w:szCs w:val="28"/>
        </w:rPr>
        <w:t xml:space="preserve"> kịp thời công khai, minh bạch các quy hoạch, kế hoạch sử dụng đất để DN và người dân dễ dàng tiếp cận nguồn lực đất đai, mặt bằng sản xuất, làm cơ sở cho việc giao đất, cho thuê đất, chuyển mục đích sử dụng đất.</w:t>
      </w:r>
      <w:r w:rsidR="003647F0" w:rsidRPr="001568F9">
        <w:rPr>
          <w:szCs w:val="28"/>
        </w:rPr>
        <w:t xml:space="preserve"> Tập trung chỉ đạo Trung tâm Phát triễn quỹ đất, Phòng Tài nguyên và Môi trường thành phố chủ trì, phối hợp với các cơ quan đơn vị có liên quan và địa phương </w:t>
      </w:r>
      <w:r w:rsidR="00444B21" w:rsidRPr="001568F9">
        <w:rPr>
          <w:szCs w:val="28"/>
        </w:rPr>
        <w:t>đ</w:t>
      </w:r>
      <w:r w:rsidRPr="001568F9">
        <w:rPr>
          <w:szCs w:val="28"/>
        </w:rPr>
        <w:t xml:space="preserve">ẩy nhanh tiến độ giải phóng mặt bằng các dự án cho DN triển khai thực hiện; chú trọng bố trí nguồn lực tạo quỹ đất sạch có sẵn để nhà đầu tư dễ dàng tiếp cận. </w:t>
      </w:r>
    </w:p>
    <w:p w14:paraId="671FF32B" w14:textId="77777777" w:rsidR="00435FB6" w:rsidRDefault="00BA5D83" w:rsidP="00435FB6">
      <w:pPr>
        <w:widowControl w:val="0"/>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rPr>
          <w:szCs w:val="28"/>
        </w:rPr>
      </w:pPr>
      <w:r w:rsidRPr="001568F9">
        <w:rPr>
          <w:szCs w:val="28"/>
        </w:rPr>
        <w:t>4. Nâng cao chất lượng thực thi.</w:t>
      </w:r>
      <w:r w:rsidR="00444B21" w:rsidRPr="001568F9">
        <w:rPr>
          <w:szCs w:val="28"/>
        </w:rPr>
        <w:t xml:space="preserve"> UBND thành phố đã chỉ đạo, quán triệt</w:t>
      </w:r>
      <w:r w:rsidRPr="001568F9">
        <w:rPr>
          <w:szCs w:val="28"/>
        </w:rPr>
        <w:t xml:space="preserve"> </w:t>
      </w:r>
      <w:r w:rsidR="00444B21" w:rsidRPr="001568F9">
        <w:rPr>
          <w:szCs w:val="28"/>
        </w:rPr>
        <w:t>c</w:t>
      </w:r>
      <w:r w:rsidRPr="001568F9">
        <w:rPr>
          <w:szCs w:val="28"/>
        </w:rPr>
        <w:t xml:space="preserve">án bộ, công chức thực hiện nghiêm túc việc hướng dẫn, giải quyết TTHC cho DN theo nguyên tắc: Khi cần yêu cầu sửa đổi, bổ sung hồ sơ thì thông báo một lần bằng văn bản cho DN, nhà đầu tư về toàn bộ các nội dung cần phải sửa đổi, bổ sung đối với mỗi bộ hồ sơ. Thông báo phải nêu rõ yêu cầu sửa đổi, bổ sung và lý do của việc yêu cầu sửa đổi, bổ sung. DN có quyền tự do kinh doanh trong những ngành, nghề mà pháp luật không cấm và ngược lại, công chức chỉ được làm những gì luật pháp cho phép. Nếu cả hai phía, cán bộ và DN đều biết và nắm vững nguyên tắc trên thì sẽ giảm thiểu rất nhiều tình trạng gây khó khăn, phiền phức, dẫn đến nhũng nhiễu, tham nhũng và nhiều hệ lụy khác, làm xói mòn niềm tin của DN vào hệ thống công quyền. </w:t>
      </w:r>
    </w:p>
    <w:p w14:paraId="32EE78B6" w14:textId="7E8972C3" w:rsidR="00BA5D83" w:rsidRDefault="00444B21" w:rsidP="006F3937">
      <w:pPr>
        <w:pBdr>
          <w:top w:val="dotted" w:sz="4" w:space="0" w:color="FFFFFF"/>
          <w:left w:val="dotted" w:sz="4" w:space="0" w:color="FFFFFF"/>
          <w:bottom w:val="dotted" w:sz="4" w:space="14" w:color="FFFFFF"/>
          <w:right w:val="dotted" w:sz="4" w:space="0" w:color="FFFFFF"/>
        </w:pBdr>
        <w:shd w:val="clear" w:color="auto" w:fill="FFFFFF"/>
        <w:spacing w:before="80" w:after="0" w:line="252" w:lineRule="auto"/>
        <w:ind w:firstLine="567"/>
        <w:jc w:val="both"/>
      </w:pPr>
      <w:r w:rsidRPr="001568F9">
        <w:rPr>
          <w:szCs w:val="28"/>
        </w:rPr>
        <w:lastRenderedPageBreak/>
        <w:t>Bên cạnh đó,</w:t>
      </w:r>
      <w:r w:rsidR="00BA5D83" w:rsidRPr="001568F9">
        <w:rPr>
          <w:szCs w:val="28"/>
        </w:rPr>
        <w:t xml:space="preserve"> </w:t>
      </w:r>
      <w:r w:rsidRPr="001568F9">
        <w:rPr>
          <w:szCs w:val="28"/>
        </w:rPr>
        <w:t>t</w:t>
      </w:r>
      <w:r w:rsidR="00BA5D83" w:rsidRPr="001568F9">
        <w:rPr>
          <w:szCs w:val="28"/>
        </w:rPr>
        <w:t>ăng cường ứng dụng công nghệ thông tin trong việc quản lý, theo dõi việc giao nhiệm vụ, triển khai thực hiện nhiệm vụ của các đơn vị theo thời gian thực quản lý, nhắc nhở kịp thời. Thực hiện xử lý vi phạm hoặc điều động, luân chuyển các cán bộ gây phiền hà, nhũng nhiễu, thiếu trách nhiệm, hiệu quả làm việc thấp cho những công việc phù hợp khác; đồng thời phát hiện những cá nhân có tâm, có tầm để bồi dưỡng, đào tạo và đề bạt vào những vị trí quan trọng. Để thực thi công việc hiệu quả, phải tuân thủ nguyên tắc “đảm bảo xác định rõ mỗi nhiệm vụ có một đầu mối và người chịu trách nhiệm”.</w:t>
      </w:r>
      <w:r w:rsidR="00435FB6">
        <w:t>/.</w:t>
      </w:r>
    </w:p>
    <w:sectPr w:rsidR="00BA5D83" w:rsidSect="001D496B">
      <w:headerReference w:type="default" r:id="rId8"/>
      <w:pgSz w:w="11906" w:h="16838" w:code="9"/>
      <w:pgMar w:top="1134" w:right="851"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1639" w14:textId="77777777" w:rsidR="00E700A2" w:rsidRDefault="00E700A2" w:rsidP="006D4BDC">
      <w:pPr>
        <w:spacing w:after="0" w:line="240" w:lineRule="auto"/>
      </w:pPr>
      <w:r>
        <w:separator/>
      </w:r>
    </w:p>
  </w:endnote>
  <w:endnote w:type="continuationSeparator" w:id="0">
    <w:p w14:paraId="184D8AA2" w14:textId="77777777" w:rsidR="00E700A2" w:rsidRDefault="00E700A2" w:rsidP="006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946EB" w14:textId="77777777" w:rsidR="00E700A2" w:rsidRDefault="00E700A2" w:rsidP="006D4BDC">
      <w:pPr>
        <w:spacing w:after="0" w:line="240" w:lineRule="auto"/>
      </w:pPr>
      <w:r>
        <w:separator/>
      </w:r>
    </w:p>
  </w:footnote>
  <w:footnote w:type="continuationSeparator" w:id="0">
    <w:p w14:paraId="2F74EA2D" w14:textId="77777777" w:rsidR="00E700A2" w:rsidRDefault="00E700A2" w:rsidP="006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828486"/>
      <w:docPartObj>
        <w:docPartGallery w:val="Page Numbers (Top of Page)"/>
        <w:docPartUnique/>
      </w:docPartObj>
    </w:sdtPr>
    <w:sdtEndPr>
      <w:rPr>
        <w:noProof/>
      </w:rPr>
    </w:sdtEndPr>
    <w:sdtContent>
      <w:p w14:paraId="213D6E2C" w14:textId="58826630" w:rsidR="000B57D0" w:rsidRDefault="000B57D0">
        <w:pPr>
          <w:pStyle w:val="Header"/>
          <w:jc w:val="center"/>
        </w:pPr>
        <w:r>
          <w:fldChar w:fldCharType="begin"/>
        </w:r>
        <w:r>
          <w:instrText xml:space="preserve"> PAGE   \* MERGEFORMAT </w:instrText>
        </w:r>
        <w:r>
          <w:fldChar w:fldCharType="separate"/>
        </w:r>
        <w:r w:rsidR="00094EED">
          <w:rPr>
            <w:noProof/>
          </w:rPr>
          <w:t>8</w:t>
        </w:r>
        <w:r>
          <w:rPr>
            <w:noProof/>
          </w:rPr>
          <w:fldChar w:fldCharType="end"/>
        </w:r>
      </w:p>
    </w:sdtContent>
  </w:sdt>
  <w:p w14:paraId="048D12D0" w14:textId="77777777" w:rsidR="000B57D0" w:rsidRDefault="000B5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E4F"/>
    <w:multiLevelType w:val="hybridMultilevel"/>
    <w:tmpl w:val="D572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59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9C"/>
    <w:rsid w:val="00014AE3"/>
    <w:rsid w:val="000229A5"/>
    <w:rsid w:val="00051A1F"/>
    <w:rsid w:val="00081B4D"/>
    <w:rsid w:val="000906D0"/>
    <w:rsid w:val="00094EED"/>
    <w:rsid w:val="000A54AE"/>
    <w:rsid w:val="000B1531"/>
    <w:rsid w:val="000B57D0"/>
    <w:rsid w:val="000B59E0"/>
    <w:rsid w:val="000D2BAF"/>
    <w:rsid w:val="00107037"/>
    <w:rsid w:val="00114F61"/>
    <w:rsid w:val="00127566"/>
    <w:rsid w:val="0013306D"/>
    <w:rsid w:val="00146DD6"/>
    <w:rsid w:val="00151C4B"/>
    <w:rsid w:val="001568F9"/>
    <w:rsid w:val="001571DF"/>
    <w:rsid w:val="00160A2A"/>
    <w:rsid w:val="001655B7"/>
    <w:rsid w:val="0017699F"/>
    <w:rsid w:val="001858C1"/>
    <w:rsid w:val="001859E8"/>
    <w:rsid w:val="001963A1"/>
    <w:rsid w:val="001D496B"/>
    <w:rsid w:val="001E057D"/>
    <w:rsid w:val="001E3EAE"/>
    <w:rsid w:val="001F3A4C"/>
    <w:rsid w:val="001F5465"/>
    <w:rsid w:val="002270ED"/>
    <w:rsid w:val="00243A33"/>
    <w:rsid w:val="00256526"/>
    <w:rsid w:val="002621E0"/>
    <w:rsid w:val="00270F77"/>
    <w:rsid w:val="002830B0"/>
    <w:rsid w:val="002E457D"/>
    <w:rsid w:val="002F4245"/>
    <w:rsid w:val="00312E61"/>
    <w:rsid w:val="00324990"/>
    <w:rsid w:val="00341D86"/>
    <w:rsid w:val="00344706"/>
    <w:rsid w:val="00345DC4"/>
    <w:rsid w:val="00352D0E"/>
    <w:rsid w:val="003647F0"/>
    <w:rsid w:val="00374741"/>
    <w:rsid w:val="00387477"/>
    <w:rsid w:val="00390D5F"/>
    <w:rsid w:val="003C2E70"/>
    <w:rsid w:val="003D2FFC"/>
    <w:rsid w:val="004129BA"/>
    <w:rsid w:val="004210BF"/>
    <w:rsid w:val="00432C7D"/>
    <w:rsid w:val="00435FB6"/>
    <w:rsid w:val="00444B21"/>
    <w:rsid w:val="004628E4"/>
    <w:rsid w:val="00485B30"/>
    <w:rsid w:val="004A1223"/>
    <w:rsid w:val="004A1AE0"/>
    <w:rsid w:val="004A6AE7"/>
    <w:rsid w:val="004B3A93"/>
    <w:rsid w:val="004E4780"/>
    <w:rsid w:val="00506744"/>
    <w:rsid w:val="00523875"/>
    <w:rsid w:val="00526D36"/>
    <w:rsid w:val="005374E3"/>
    <w:rsid w:val="0056767B"/>
    <w:rsid w:val="005678A6"/>
    <w:rsid w:val="00567A44"/>
    <w:rsid w:val="0057527E"/>
    <w:rsid w:val="005A7182"/>
    <w:rsid w:val="005C12D4"/>
    <w:rsid w:val="005D4F2F"/>
    <w:rsid w:val="005F18ED"/>
    <w:rsid w:val="005F2FD4"/>
    <w:rsid w:val="005F32EE"/>
    <w:rsid w:val="00627DDE"/>
    <w:rsid w:val="00646AB0"/>
    <w:rsid w:val="0065358E"/>
    <w:rsid w:val="006621B0"/>
    <w:rsid w:val="006811A6"/>
    <w:rsid w:val="00685A8E"/>
    <w:rsid w:val="00695C72"/>
    <w:rsid w:val="0069777C"/>
    <w:rsid w:val="006A452A"/>
    <w:rsid w:val="006C1700"/>
    <w:rsid w:val="006D4BDC"/>
    <w:rsid w:val="006D55B4"/>
    <w:rsid w:val="006E64B5"/>
    <w:rsid w:val="006F0ADB"/>
    <w:rsid w:val="006F3937"/>
    <w:rsid w:val="006F459F"/>
    <w:rsid w:val="0071479C"/>
    <w:rsid w:val="00725DD1"/>
    <w:rsid w:val="007304A4"/>
    <w:rsid w:val="00731623"/>
    <w:rsid w:val="007D6223"/>
    <w:rsid w:val="007F7278"/>
    <w:rsid w:val="00812FCB"/>
    <w:rsid w:val="008248E7"/>
    <w:rsid w:val="008260CD"/>
    <w:rsid w:val="00836DE8"/>
    <w:rsid w:val="00860418"/>
    <w:rsid w:val="0086359C"/>
    <w:rsid w:val="00885653"/>
    <w:rsid w:val="008B181A"/>
    <w:rsid w:val="008B5214"/>
    <w:rsid w:val="008C591B"/>
    <w:rsid w:val="008E20BB"/>
    <w:rsid w:val="008E6441"/>
    <w:rsid w:val="00907E9D"/>
    <w:rsid w:val="00910840"/>
    <w:rsid w:val="009170C1"/>
    <w:rsid w:val="00923131"/>
    <w:rsid w:val="0093378D"/>
    <w:rsid w:val="009439A0"/>
    <w:rsid w:val="0095284B"/>
    <w:rsid w:val="00954409"/>
    <w:rsid w:val="00972463"/>
    <w:rsid w:val="0097393D"/>
    <w:rsid w:val="009860A6"/>
    <w:rsid w:val="00996E91"/>
    <w:rsid w:val="009A6785"/>
    <w:rsid w:val="009E3192"/>
    <w:rsid w:val="009E3C69"/>
    <w:rsid w:val="009E4C48"/>
    <w:rsid w:val="00A02CEE"/>
    <w:rsid w:val="00A05B06"/>
    <w:rsid w:val="00A124B6"/>
    <w:rsid w:val="00A22576"/>
    <w:rsid w:val="00A433DB"/>
    <w:rsid w:val="00A53662"/>
    <w:rsid w:val="00A77FEE"/>
    <w:rsid w:val="00A8578F"/>
    <w:rsid w:val="00AB0853"/>
    <w:rsid w:val="00AB3707"/>
    <w:rsid w:val="00AC2F75"/>
    <w:rsid w:val="00AF0B5D"/>
    <w:rsid w:val="00AF2B7C"/>
    <w:rsid w:val="00AF7E51"/>
    <w:rsid w:val="00B13266"/>
    <w:rsid w:val="00B15993"/>
    <w:rsid w:val="00B321A6"/>
    <w:rsid w:val="00B75A48"/>
    <w:rsid w:val="00BA5D83"/>
    <w:rsid w:val="00BA7945"/>
    <w:rsid w:val="00BC4646"/>
    <w:rsid w:val="00BE30CC"/>
    <w:rsid w:val="00BF4C2C"/>
    <w:rsid w:val="00C24625"/>
    <w:rsid w:val="00C255CA"/>
    <w:rsid w:val="00C335C4"/>
    <w:rsid w:val="00C3750F"/>
    <w:rsid w:val="00C56A0F"/>
    <w:rsid w:val="00C70BA7"/>
    <w:rsid w:val="00C857D4"/>
    <w:rsid w:val="00CD49A1"/>
    <w:rsid w:val="00CD7594"/>
    <w:rsid w:val="00CF4618"/>
    <w:rsid w:val="00D31D71"/>
    <w:rsid w:val="00D34F86"/>
    <w:rsid w:val="00D4107E"/>
    <w:rsid w:val="00D61993"/>
    <w:rsid w:val="00D6755C"/>
    <w:rsid w:val="00DB2597"/>
    <w:rsid w:val="00DC5A06"/>
    <w:rsid w:val="00DF3608"/>
    <w:rsid w:val="00DF7E5D"/>
    <w:rsid w:val="00E114E4"/>
    <w:rsid w:val="00E215A7"/>
    <w:rsid w:val="00E26646"/>
    <w:rsid w:val="00E44CF3"/>
    <w:rsid w:val="00E54267"/>
    <w:rsid w:val="00E553E1"/>
    <w:rsid w:val="00E700A2"/>
    <w:rsid w:val="00E825D4"/>
    <w:rsid w:val="00EA7C33"/>
    <w:rsid w:val="00EC32B1"/>
    <w:rsid w:val="00EC4105"/>
    <w:rsid w:val="00EC4C59"/>
    <w:rsid w:val="00F32A9C"/>
    <w:rsid w:val="00F4469B"/>
    <w:rsid w:val="00F44D09"/>
    <w:rsid w:val="00F54244"/>
    <w:rsid w:val="00F5702F"/>
    <w:rsid w:val="00F6389E"/>
    <w:rsid w:val="00F64C9C"/>
    <w:rsid w:val="00F7220E"/>
    <w:rsid w:val="00F83A4F"/>
    <w:rsid w:val="00FC4C75"/>
    <w:rsid w:val="00FC63DC"/>
    <w:rsid w:val="00FD267B"/>
    <w:rsid w:val="00FE0861"/>
    <w:rsid w:val="00FF0D1B"/>
    <w:rsid w:val="00FF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6C9748"/>
  <w15:docId w15:val="{84BAE878-C2BD-4267-B9D0-B34E509D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9C"/>
    <w:pPr>
      <w:ind w:left="720"/>
      <w:contextualSpacing/>
    </w:pPr>
  </w:style>
  <w:style w:type="character" w:styleId="Hyperlink">
    <w:name w:val="Hyperlink"/>
    <w:basedOn w:val="DefaultParagraphFont"/>
    <w:uiPriority w:val="99"/>
    <w:unhideWhenUsed/>
    <w:rsid w:val="0017699F"/>
    <w:rPr>
      <w:color w:val="0563C1" w:themeColor="hyperlink"/>
      <w:u w:val="single"/>
    </w:rPr>
  </w:style>
  <w:style w:type="character" w:customStyle="1" w:styleId="UnresolvedMention1">
    <w:name w:val="Unresolved Mention1"/>
    <w:basedOn w:val="DefaultParagraphFont"/>
    <w:uiPriority w:val="99"/>
    <w:semiHidden/>
    <w:unhideWhenUsed/>
    <w:rsid w:val="0017699F"/>
    <w:rPr>
      <w:color w:val="605E5C"/>
      <w:shd w:val="clear" w:color="auto" w:fill="E1DFDD"/>
    </w:rPr>
  </w:style>
  <w:style w:type="paragraph" w:styleId="Header">
    <w:name w:val="header"/>
    <w:basedOn w:val="Normal"/>
    <w:link w:val="HeaderChar"/>
    <w:uiPriority w:val="99"/>
    <w:unhideWhenUsed/>
    <w:rsid w:val="006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BDC"/>
  </w:style>
  <w:style w:type="paragraph" w:styleId="Footer">
    <w:name w:val="footer"/>
    <w:basedOn w:val="Normal"/>
    <w:link w:val="FooterChar"/>
    <w:uiPriority w:val="99"/>
    <w:unhideWhenUsed/>
    <w:rsid w:val="006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BDC"/>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single spa"/>
    <w:basedOn w:val="Normal"/>
    <w:link w:val="FootnoteTextChar"/>
    <w:qFormat/>
    <w:rsid w:val="00B321A6"/>
    <w:pPr>
      <w:spacing w:after="0" w:line="240" w:lineRule="auto"/>
    </w:pPr>
    <w:rPr>
      <w:rFonts w:eastAsia="Times New Roman" w:cs="Times New Roman"/>
      <w:kern w:val="0"/>
      <w:sz w:val="20"/>
      <w:szCs w:val="20"/>
      <w14:ligatures w14:val="none"/>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single spa Char"/>
    <w:basedOn w:val="DefaultParagraphFont"/>
    <w:link w:val="FootnoteText"/>
    <w:uiPriority w:val="99"/>
    <w:qFormat/>
    <w:rsid w:val="00B321A6"/>
    <w:rPr>
      <w:rFonts w:eastAsia="Times New Roman" w:cs="Times New Roman"/>
      <w:kern w:val="0"/>
      <w:sz w:val="20"/>
      <w:szCs w:val="20"/>
      <w14:ligatures w14:val="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B321A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B321A6"/>
    <w:pPr>
      <w:widowControl w:val="0"/>
      <w:spacing w:line="240" w:lineRule="exact"/>
    </w:pPr>
    <w:rPr>
      <w:vertAlign w:val="superscript"/>
    </w:rPr>
  </w:style>
  <w:style w:type="character" w:customStyle="1" w:styleId="fontstyle01">
    <w:name w:val="fontstyle01"/>
    <w:rsid w:val="00E44CF3"/>
    <w:rPr>
      <w:rFonts w:ascii="TimesNewRomanPSMT" w:hAnsi="TimesNewRomanPSMT" w:hint="default"/>
      <w:b w:val="0"/>
      <w:bCs w:val="0"/>
      <w:i w:val="0"/>
      <w:iCs w:val="0"/>
      <w:color w:val="000000"/>
      <w:sz w:val="30"/>
      <w:szCs w:val="30"/>
    </w:rPr>
  </w:style>
  <w:style w:type="character" w:customStyle="1" w:styleId="BodyTextChar1">
    <w:name w:val="Body Text Char1"/>
    <w:uiPriority w:val="99"/>
    <w:rsid w:val="00923131"/>
    <w:rPr>
      <w:sz w:val="24"/>
      <w:lang w:val="en-US" w:eastAsia="en-US"/>
    </w:rPr>
  </w:style>
  <w:style w:type="paragraph" w:customStyle="1" w:styleId="Char">
    <w:name w:val="Char"/>
    <w:basedOn w:val="Normal"/>
    <w:rsid w:val="00C70BA7"/>
    <w:pPr>
      <w:spacing w:line="240" w:lineRule="exact"/>
    </w:pPr>
    <w:rPr>
      <w:rFonts w:ascii="Verdana" w:eastAsia="Times New Roman" w:hAnsi="Verdan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9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E1F6-7E99-4509-A7DA-9B530EB0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Xuân</dc:creator>
  <cp:lastModifiedBy>Thoa Nguyễn</cp:lastModifiedBy>
  <cp:revision>27</cp:revision>
  <cp:lastPrinted>2024-07-08T09:06:00Z</cp:lastPrinted>
  <dcterms:created xsi:type="dcterms:W3CDTF">2024-06-30T03:45:00Z</dcterms:created>
  <dcterms:modified xsi:type="dcterms:W3CDTF">2024-07-21T08:49:00Z</dcterms:modified>
</cp:coreProperties>
</file>